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Style w:val="TableGrid"/>
        <w:tblpPr w:leftFromText="180" w:rightFromText="180" w:vertAnchor="page" w:horzAnchor="margin" w:tblpY="1613"/>
        <w:tblW w:w="0" w:type="auto"/>
        <w:tblLook w:val="04A0"/>
      </w:tblPr>
      <w:tblGrid>
        <w:gridCol w:w="9016"/>
      </w:tblGrid>
      <w:tr w:rsidTr="00EB1945">
        <w:tblPrEx>
          <w:tblW w:w="0" w:type="auto"/>
          <w:tblLook w:val="04A0"/>
        </w:tblPrEx>
        <w:trPr>
          <w:trHeight w:val="522"/>
        </w:trPr>
        <w:tc>
          <w:tcPr>
            <w:tcW w:w="9016" w:type="dxa"/>
          </w:tcPr>
          <w:p w:rsidR="00E617D4" w:rsidRPr="00646BEE" w:rsidP="00EB1945">
            <w:pPr>
              <w:rPr>
                <w:rFonts w:ascii="Arial" w:hAnsi="Arial" w:cs="Arial"/>
                <w:bCs/>
                <w:sz w:val="24"/>
                <w:szCs w:val="24"/>
              </w:rPr>
            </w:pPr>
            <w:r>
              <w:rPr>
                <w:rFonts w:ascii="Arial" w:hAnsi="Arial" w:cs="Arial"/>
                <w:bCs/>
                <w:sz w:val="24"/>
                <w:szCs w:val="24"/>
              </w:rPr>
              <w:t>P</w:t>
            </w:r>
            <w:r w:rsidRPr="00646BEE" w:rsidR="00224270">
              <w:rPr>
                <w:rFonts w:ascii="Arial" w:hAnsi="Arial" w:cs="Arial"/>
                <w:bCs/>
                <w:sz w:val="24"/>
                <w:szCs w:val="24"/>
              </w:rPr>
              <w:t>rocurement Title</w:t>
            </w:r>
          </w:p>
          <w:p w:rsidR="00E617D4" w:rsidRPr="00646BEE" w:rsidP="00EB1945">
            <w:pPr>
              <w:rPr>
                <w:rFonts w:ascii="Arial" w:hAnsi="Arial" w:cs="Arial"/>
                <w:bCs/>
                <w:iCs/>
              </w:rPr>
            </w:pPr>
            <w:r w:rsidRPr="00646BEE">
              <w:rPr>
                <w:rFonts w:ascii="Arial" w:hAnsi="Arial" w:cs="Arial"/>
                <w:bCs/>
                <w:iCs/>
              </w:rPr>
              <w:t>Procurement for the Supply of Liquid Fuels</w:t>
            </w:r>
          </w:p>
        </w:tc>
      </w:tr>
      <w:tr w:rsidTr="00EB1945">
        <w:tblPrEx>
          <w:tblW w:w="0" w:type="auto"/>
          <w:tblLook w:val="04A0"/>
        </w:tblPrEx>
        <w:trPr>
          <w:trHeight w:val="511"/>
        </w:trPr>
        <w:tc>
          <w:tcPr>
            <w:tcW w:w="9016" w:type="dxa"/>
          </w:tcPr>
          <w:p w:rsidR="00E617D4" w:rsidRPr="00646BEE" w:rsidP="00EB1945">
            <w:pPr>
              <w:rPr>
                <w:rFonts w:ascii="Arial" w:hAnsi="Arial" w:cs="Arial"/>
                <w:bCs/>
                <w:sz w:val="24"/>
                <w:szCs w:val="24"/>
              </w:rPr>
            </w:pPr>
            <w:r w:rsidRPr="00646BEE">
              <w:rPr>
                <w:rFonts w:ascii="Arial" w:hAnsi="Arial" w:cs="Arial"/>
                <w:bCs/>
                <w:sz w:val="24"/>
                <w:szCs w:val="24"/>
              </w:rPr>
              <w:t>Procurement Option</w:t>
            </w:r>
          </w:p>
          <w:p w:rsidR="00E617D4" w:rsidRPr="00646BEE" w:rsidP="00EB1945">
            <w:pPr>
              <w:rPr>
                <w:rFonts w:ascii="Arial" w:hAnsi="Arial" w:cs="Arial"/>
                <w:bCs/>
                <w:iCs/>
              </w:rPr>
            </w:pPr>
            <w:r w:rsidRPr="00646BEE">
              <w:rPr>
                <w:rFonts w:ascii="Arial" w:hAnsi="Arial" w:cs="Arial"/>
                <w:bCs/>
                <w:iCs/>
              </w:rPr>
              <w:t>Call off contract from Crown Commercial Service (CCS) National Fuels Framework 2</w:t>
            </w:r>
          </w:p>
          <w:p w:rsidR="00E617D4" w:rsidRPr="00646BEE" w:rsidP="00EB1945">
            <w:pPr>
              <w:rPr>
                <w:rFonts w:ascii="Arial" w:hAnsi="Arial" w:cs="Arial"/>
                <w:bCs/>
                <w:i/>
              </w:rPr>
            </w:pPr>
            <w:r w:rsidRPr="00646BEE">
              <w:rPr>
                <w:rFonts w:ascii="Arial" w:hAnsi="Arial" w:cs="Arial"/>
                <w:bCs/>
                <w:iCs/>
              </w:rPr>
              <w:t>RM6177</w:t>
            </w:r>
          </w:p>
        </w:tc>
      </w:tr>
      <w:tr w:rsidTr="00EB1945">
        <w:tblPrEx>
          <w:tblW w:w="0" w:type="auto"/>
          <w:tblLook w:val="04A0"/>
        </w:tblPrEx>
        <w:trPr>
          <w:trHeight w:val="511"/>
        </w:trPr>
        <w:tc>
          <w:tcPr>
            <w:tcW w:w="9016" w:type="dxa"/>
          </w:tcPr>
          <w:p w:rsidR="00E617D4" w:rsidRPr="00646BEE" w:rsidP="00EB1945">
            <w:pPr>
              <w:rPr>
                <w:rFonts w:ascii="Arial" w:hAnsi="Arial" w:cs="Arial"/>
                <w:bCs/>
                <w:sz w:val="24"/>
                <w:szCs w:val="24"/>
              </w:rPr>
            </w:pPr>
            <w:r w:rsidRPr="00646BEE">
              <w:rPr>
                <w:rFonts w:ascii="Arial" w:hAnsi="Arial" w:cs="Arial"/>
                <w:bCs/>
                <w:sz w:val="24"/>
                <w:szCs w:val="24"/>
              </w:rPr>
              <w:t>New or Existing Provision</w:t>
            </w:r>
          </w:p>
          <w:p w:rsidR="00E617D4" w:rsidRPr="00646BEE" w:rsidP="00EB1945">
            <w:pPr>
              <w:rPr>
                <w:rFonts w:ascii="Arial" w:hAnsi="Arial" w:cs="Arial"/>
                <w:bCs/>
                <w:iCs/>
              </w:rPr>
            </w:pPr>
            <w:r w:rsidRPr="00646BEE">
              <w:rPr>
                <w:rFonts w:ascii="Arial" w:hAnsi="Arial" w:cs="Arial"/>
                <w:bCs/>
                <w:iCs/>
              </w:rPr>
              <w:t>Existing – current contract end date 30/09/2021</w:t>
            </w:r>
          </w:p>
        </w:tc>
      </w:tr>
      <w:tr w:rsidTr="00EB1945">
        <w:tblPrEx>
          <w:tblW w:w="0" w:type="auto"/>
          <w:tblLook w:val="04A0"/>
        </w:tblPrEx>
        <w:trPr>
          <w:trHeight w:val="802"/>
        </w:trPr>
        <w:tc>
          <w:tcPr>
            <w:tcW w:w="9016" w:type="dxa"/>
          </w:tcPr>
          <w:p w:rsidR="00E617D4" w:rsidRPr="00646BEE" w:rsidP="00EB1945">
            <w:pPr>
              <w:rPr>
                <w:rFonts w:ascii="Arial" w:hAnsi="Arial" w:cs="Arial"/>
                <w:bCs/>
                <w:sz w:val="24"/>
                <w:szCs w:val="24"/>
              </w:rPr>
            </w:pPr>
            <w:r w:rsidRPr="00646BEE">
              <w:rPr>
                <w:rFonts w:ascii="Arial" w:hAnsi="Arial" w:cs="Arial"/>
                <w:bCs/>
                <w:sz w:val="24"/>
                <w:szCs w:val="24"/>
              </w:rPr>
              <w:t>Estimated Contract Value and Funding Arrangements</w:t>
            </w:r>
          </w:p>
          <w:p w:rsidR="00E617D4" w:rsidRPr="00646BEE" w:rsidP="00EB1945">
            <w:pPr>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£1,300,000 per annum</w:t>
            </w:r>
          </w:p>
          <w:p w:rsidR="00E617D4" w:rsidRPr="00646BEE" w:rsidP="00EB1945">
            <w:pPr>
              <w:jc w:val="both"/>
              <w:rPr>
                <w:rFonts w:ascii="Arial" w:hAnsi="Arial" w:cs="Arial"/>
                <w:bCs/>
                <w:iCs/>
              </w:rPr>
            </w:pPr>
            <w:r w:rsidRPr="00646BEE">
              <w:rPr>
                <w:rFonts w:ascii="Arial" w:hAnsi="Arial" w:cs="Arial"/>
                <w:bCs/>
                <w:iCs/>
              </w:rPr>
              <w:t>£2,600,000 over a 2 year period.</w:t>
            </w:r>
          </w:p>
          <w:p w:rsidR="00E617D4" w:rsidRPr="00646BEE" w:rsidP="00EB1945">
            <w:pPr>
              <w:jc w:val="both"/>
              <w:rPr>
                <w:rFonts w:ascii="Arial" w:hAnsi="Arial" w:cs="Arial"/>
                <w:bCs/>
                <w:iCs/>
              </w:rPr>
            </w:pPr>
            <w:r w:rsidRPr="00646BEE">
              <w:rPr>
                <w:rFonts w:ascii="Arial" w:hAnsi="Arial" w:cs="Arial"/>
                <w:bCs/>
                <w:iCs/>
              </w:rPr>
              <w:t>£5,200,000 over a 4 year period.</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Funding will continue to be met by service operational budgets.</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*Please note: The delivered price of liquid fuels is very susceptible to changes in the oil</w:t>
            </w:r>
          </w:p>
          <w:p w:rsidR="00E617D4" w:rsidRPr="00646BEE" w:rsidP="00EB1945">
            <w:pPr>
              <w:jc w:val="both"/>
              <w:rPr>
                <w:rFonts w:ascii="Arial" w:hAnsi="Arial" w:cs="Arial"/>
                <w:bCs/>
                <w:iCs/>
              </w:rPr>
            </w:pPr>
            <w:r w:rsidRPr="00646BEE">
              <w:rPr>
                <w:rFonts w:ascii="Arial" w:hAnsi="Arial" w:cs="Arial"/>
                <w:bCs/>
                <w:iCs/>
              </w:rPr>
              <w:t>commodity market as the commodity element makes up a large proportion of the delivered</w:t>
            </w:r>
          </w:p>
          <w:p w:rsidR="00E617D4" w:rsidRPr="00646BEE" w:rsidP="00EB1945">
            <w:pPr>
              <w:jc w:val="both"/>
              <w:rPr>
                <w:rFonts w:ascii="Arial" w:hAnsi="Arial" w:cs="Arial"/>
                <w:bCs/>
                <w:iCs/>
              </w:rPr>
            </w:pPr>
            <w:r w:rsidRPr="00646BEE">
              <w:rPr>
                <w:rFonts w:ascii="Arial" w:hAnsi="Arial" w:cs="Arial"/>
                <w:bCs/>
                <w:iCs/>
              </w:rPr>
              <w:t>price. Therefore, any changes to the commodity price will have a large impact on contract</w:t>
            </w:r>
          </w:p>
          <w:p w:rsidR="00E617D4" w:rsidRPr="00646BEE" w:rsidP="00EB1945">
            <w:pPr>
              <w:jc w:val="both"/>
              <w:rPr>
                <w:rFonts w:ascii="Arial" w:hAnsi="Arial" w:cs="Arial"/>
                <w:bCs/>
                <w:i/>
                <w:color w:val="FF0000"/>
              </w:rPr>
            </w:pPr>
            <w:r w:rsidRPr="00646BEE">
              <w:rPr>
                <w:rFonts w:ascii="Arial" w:hAnsi="Arial" w:cs="Arial"/>
                <w:bCs/>
                <w:iCs/>
              </w:rPr>
              <w:t>value.</w:t>
            </w:r>
          </w:p>
        </w:tc>
      </w:tr>
      <w:tr w:rsidTr="00EB1945">
        <w:tblPrEx>
          <w:tblW w:w="0" w:type="auto"/>
          <w:tblLook w:val="04A0"/>
        </w:tblPrEx>
        <w:trPr>
          <w:trHeight w:val="802"/>
        </w:trPr>
        <w:tc>
          <w:tcPr>
            <w:tcW w:w="9016" w:type="dxa"/>
          </w:tcPr>
          <w:p w:rsidR="00E617D4" w:rsidRPr="00646BEE" w:rsidP="00EB1945">
            <w:pPr>
              <w:rPr>
                <w:rFonts w:ascii="Arial" w:hAnsi="Arial" w:cs="Arial"/>
                <w:bCs/>
                <w:sz w:val="24"/>
                <w:szCs w:val="24"/>
              </w:rPr>
            </w:pPr>
            <w:r w:rsidRPr="00646BEE">
              <w:rPr>
                <w:rFonts w:ascii="Arial" w:hAnsi="Arial" w:cs="Arial"/>
                <w:bCs/>
                <w:sz w:val="24"/>
                <w:szCs w:val="24"/>
              </w:rPr>
              <w:t>Contract Duration</w:t>
            </w:r>
          </w:p>
          <w:p w:rsidR="00E617D4" w:rsidRPr="00646BEE" w:rsidP="00EB1945">
            <w:pPr>
              <w:jc w:val="both"/>
              <w:rPr>
                <w:rFonts w:ascii="Arial" w:hAnsi="Arial" w:cs="Arial"/>
                <w:bCs/>
                <w:iCs/>
              </w:rPr>
            </w:pPr>
            <w:r w:rsidRPr="00646BEE">
              <w:rPr>
                <w:rFonts w:ascii="Arial" w:hAnsi="Arial" w:cs="Arial"/>
                <w:bCs/>
                <w:iCs/>
              </w:rPr>
              <w:t>It is proposed that the Crown Commercial Service (CCS) National Fuels 2 RM6177 Framework is utilised to procure an initial  two year contract (October 2021 to September 2023) for these fuels, with a recommendation to repeat the exercise in order to award a contract for a further two years (October 2023 to September 2025) in line with the framework guidelines.</w:t>
            </w:r>
          </w:p>
          <w:p w:rsidR="00E617D4" w:rsidRPr="00646BEE" w:rsidP="00EB1945">
            <w:pPr>
              <w:rPr>
                <w:rFonts w:ascii="Arial" w:hAnsi="Arial" w:cs="Arial"/>
                <w:bCs/>
                <w:iCs/>
              </w:rPr>
            </w:pPr>
          </w:p>
        </w:tc>
      </w:tr>
      <w:tr w:rsidTr="00EB1945">
        <w:tblPrEx>
          <w:tblW w:w="0" w:type="auto"/>
          <w:tblLook w:val="04A0"/>
        </w:tblPrEx>
        <w:trPr>
          <w:trHeight w:val="1546"/>
        </w:trPr>
        <w:tc>
          <w:tcPr>
            <w:tcW w:w="9016" w:type="dxa"/>
          </w:tcPr>
          <w:p w:rsidR="00E617D4" w:rsidRPr="00646BEE" w:rsidP="00EB1945">
            <w:pPr>
              <w:rPr>
                <w:rFonts w:ascii="Arial" w:hAnsi="Arial" w:cs="Arial"/>
                <w:bCs/>
                <w:sz w:val="24"/>
                <w:szCs w:val="24"/>
              </w:rPr>
            </w:pPr>
            <w:r w:rsidRPr="00646BEE">
              <w:rPr>
                <w:rFonts w:ascii="Arial" w:hAnsi="Arial" w:cs="Arial"/>
                <w:bCs/>
                <w:sz w:val="24"/>
                <w:szCs w:val="24"/>
              </w:rPr>
              <w:t>Lotting</w:t>
            </w:r>
          </w:p>
          <w:p w:rsidR="00E617D4" w:rsidRPr="00646BEE" w:rsidP="00EB1945">
            <w:pPr>
              <w:jc w:val="both"/>
              <w:rPr>
                <w:rFonts w:ascii="Arial" w:hAnsi="Arial" w:cs="Arial"/>
                <w:bCs/>
                <w:iCs/>
              </w:rPr>
            </w:pPr>
            <w:r w:rsidRPr="00646BEE">
              <w:rPr>
                <w:rFonts w:ascii="Arial" w:hAnsi="Arial" w:cs="Arial"/>
                <w:bCs/>
                <w:iCs/>
              </w:rPr>
              <w:t>The CCS National Fuels Framework is lotted regionally and nationally, with the County</w:t>
            </w:r>
          </w:p>
          <w:p w:rsidR="00E617D4" w:rsidRPr="00646BEE" w:rsidP="00EB1945">
            <w:pPr>
              <w:jc w:val="both"/>
              <w:rPr>
                <w:rFonts w:ascii="Arial" w:hAnsi="Arial" w:cs="Arial"/>
                <w:bCs/>
                <w:iCs/>
              </w:rPr>
            </w:pPr>
            <w:r w:rsidRPr="00646BEE">
              <w:rPr>
                <w:rFonts w:ascii="Arial" w:hAnsi="Arial" w:cs="Arial"/>
                <w:bCs/>
                <w:iCs/>
              </w:rPr>
              <w:t>Council accessing the lot for the North West region.</w:t>
            </w:r>
          </w:p>
          <w:p w:rsidR="00E617D4" w:rsidRPr="00646BEE" w:rsidP="00EB1945">
            <w:pPr>
              <w:jc w:val="both"/>
              <w:rPr>
                <w:rFonts w:ascii="Arial" w:hAnsi="Arial" w:cs="Arial"/>
                <w:bCs/>
                <w:iCs/>
              </w:rPr>
            </w:pPr>
          </w:p>
          <w:p w:rsidR="00E617D4" w:rsidRPr="00646BEE" w:rsidP="00EB1945">
            <w:pPr>
              <w:jc w:val="both"/>
              <w:rPr>
                <w:rFonts w:ascii="Arial" w:hAnsi="Arial" w:cs="Arial"/>
                <w:bCs/>
                <w:sz w:val="24"/>
                <w:szCs w:val="24"/>
              </w:rPr>
            </w:pPr>
            <w:r w:rsidRPr="00646BEE">
              <w:rPr>
                <w:rFonts w:ascii="Arial" w:hAnsi="Arial" w:cs="Arial"/>
                <w:bCs/>
                <w:iCs/>
              </w:rPr>
              <w:t>At product level, the contract is automatically lotted for the different types of fuel required.</w:t>
            </w:r>
          </w:p>
        </w:tc>
      </w:tr>
      <w:tr w:rsidTr="00EB1945">
        <w:tblPrEx>
          <w:tblW w:w="0" w:type="auto"/>
          <w:tblLook w:val="04A0"/>
        </w:tblPrEx>
        <w:trPr>
          <w:trHeight w:val="1322"/>
        </w:trPr>
        <w:tc>
          <w:tcPr>
            <w:tcW w:w="9016" w:type="dxa"/>
            <w:vAlign w:val="center"/>
          </w:tcPr>
          <w:p w:rsidR="00E617D4" w:rsidRPr="00646BEE" w:rsidP="00EB1945">
            <w:pPr>
              <w:rPr>
                <w:rFonts w:ascii="Arial" w:hAnsi="Arial" w:cs="Arial"/>
                <w:bCs/>
                <w:sz w:val="24"/>
                <w:szCs w:val="24"/>
              </w:rPr>
            </w:pPr>
            <w:r w:rsidRPr="00646BEE">
              <w:rPr>
                <w:rFonts w:ascii="Arial" w:hAnsi="Arial" w:cs="Arial"/>
                <w:bCs/>
                <w:sz w:val="24"/>
                <w:szCs w:val="24"/>
              </w:rPr>
              <w:t>Evaluation</w:t>
            </w:r>
          </w:p>
          <w:tbl>
            <w:tblPr>
              <w:tblStyle w:val="TableGrid"/>
              <w:tblW w:w="0" w:type="auto"/>
              <w:tblLook w:val="04A0"/>
            </w:tblPr>
            <w:tblGrid>
              <w:gridCol w:w="2972"/>
              <w:gridCol w:w="3063"/>
            </w:tblGrid>
            <w:tr w:rsidTr="00EB1945">
              <w:tblPrEx>
                <w:tblW w:w="0" w:type="auto"/>
                <w:tblLook w:val="04A0"/>
              </w:tblPrEx>
              <w:trPr>
                <w:trHeight w:val="401"/>
              </w:trPr>
              <w:tc>
                <w:tcPr>
                  <w:tcW w:w="2972" w:type="dxa"/>
                  <w:vAlign w:val="center"/>
                </w:tcPr>
                <w:p w:rsidR="00E617D4" w:rsidRPr="00646BEE" w:rsidP="00E537CF">
                  <w:pPr>
                    <w:framePr w:hSpace="180" w:wrap="around" w:vAnchor="page" w:hAnchor="margin" w:y="1613"/>
                    <w:rPr>
                      <w:bCs/>
                      <w:i/>
                    </w:rPr>
                  </w:pPr>
                  <w:r w:rsidRPr="00646BEE">
                    <w:rPr>
                      <w:rFonts w:ascii="Arial-BoldMT" w:hAnsi="Arial-BoldMT" w:cs="Arial-BoldMT"/>
                      <w:bCs/>
                      <w:i/>
                      <w:szCs w:val="24"/>
                    </w:rPr>
                    <w:t>Quality Criteria 0%</w:t>
                  </w:r>
                </w:p>
              </w:tc>
              <w:tc>
                <w:tcPr>
                  <w:tcW w:w="3063" w:type="dxa"/>
                  <w:vAlign w:val="center"/>
                </w:tcPr>
                <w:p w:rsidR="00E617D4" w:rsidRPr="00646BEE" w:rsidP="00E537CF">
                  <w:pPr>
                    <w:framePr w:hSpace="180" w:wrap="around" w:vAnchor="page" w:hAnchor="margin" w:y="1613"/>
                    <w:rPr>
                      <w:bCs/>
                      <w:i/>
                    </w:rPr>
                  </w:pPr>
                  <w:r w:rsidRPr="00646BEE">
                    <w:rPr>
                      <w:rFonts w:ascii="Arial-BoldMT" w:hAnsi="Arial-BoldMT" w:cs="Arial-BoldMT"/>
                      <w:bCs/>
                      <w:i/>
                      <w:szCs w:val="24"/>
                    </w:rPr>
                    <w:t>Financial Criteria 100%</w:t>
                  </w:r>
                </w:p>
              </w:tc>
            </w:tr>
          </w:tbl>
          <w:p w:rsidR="00E617D4" w:rsidRPr="00646BEE" w:rsidP="00EB1945">
            <w:pPr>
              <w:jc w:val="both"/>
              <w:rPr>
                <w:rFonts w:ascii="Arial" w:hAnsi="Arial" w:cs="Arial"/>
                <w:bCs/>
                <w:iCs/>
                <w:color w:val="FF0000"/>
              </w:rPr>
            </w:pPr>
            <w:r w:rsidRPr="00646BEE">
              <w:rPr>
                <w:rFonts w:ascii="Arial" w:hAnsi="Arial" w:cs="Arial"/>
                <w:bCs/>
                <w:iCs/>
              </w:rPr>
              <w:t>The Crown Commercial Service will undertake further competitions between suppliers awarded to the framework on behalf of the County Council, by the means of a reverse e-auction which will be based on lowest supply margin.</w:t>
            </w:r>
          </w:p>
        </w:tc>
      </w:tr>
      <w:tr w:rsidTr="00EB1945">
        <w:tblPrEx>
          <w:tblW w:w="0" w:type="auto"/>
          <w:tblLook w:val="04A0"/>
        </w:tblPrEx>
        <w:trPr>
          <w:trHeight w:val="6794"/>
        </w:trPr>
        <w:tc>
          <w:tcPr>
            <w:tcW w:w="9016" w:type="dxa"/>
          </w:tcPr>
          <w:p w:rsidR="00E617D4" w:rsidRPr="00646BEE" w:rsidP="00EB1945">
            <w:pPr>
              <w:jc w:val="both"/>
              <w:rPr>
                <w:rFonts w:ascii="Arial" w:hAnsi="Arial" w:cs="Arial"/>
                <w:bCs/>
                <w:sz w:val="24"/>
                <w:szCs w:val="24"/>
              </w:rPr>
            </w:pPr>
            <w:r w:rsidRPr="00646BEE">
              <w:rPr>
                <w:rFonts w:ascii="Arial" w:hAnsi="Arial" w:cs="Arial"/>
                <w:bCs/>
                <w:sz w:val="24"/>
                <w:szCs w:val="24"/>
              </w:rPr>
              <w:t>Contract Detail</w:t>
            </w:r>
          </w:p>
          <w:p w:rsidR="00E617D4" w:rsidRPr="00646BEE" w:rsidP="00EB1945">
            <w:pPr>
              <w:jc w:val="both"/>
              <w:rPr>
                <w:rFonts w:ascii="Arial" w:hAnsi="Arial" w:cs="Arial"/>
                <w:bCs/>
                <w:sz w:val="24"/>
                <w:szCs w:val="24"/>
              </w:rPr>
            </w:pPr>
          </w:p>
          <w:p w:rsidR="00E617D4" w:rsidRPr="00646BEE" w:rsidP="00EB1945">
            <w:pPr>
              <w:jc w:val="both"/>
              <w:rPr>
                <w:rFonts w:ascii="Arial" w:hAnsi="Arial" w:cs="Arial"/>
                <w:bCs/>
                <w:iCs/>
              </w:rPr>
            </w:pPr>
            <w:r w:rsidRPr="00646BEE">
              <w:rPr>
                <w:rFonts w:ascii="Arial" w:hAnsi="Arial" w:cs="Arial"/>
                <w:bCs/>
                <w:iCs/>
              </w:rPr>
              <w:t>The Liquid Fuels contracts supply the County Council with the following fuels:</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Heating Oils:</w:t>
            </w:r>
          </w:p>
          <w:p w:rsidR="00E617D4" w:rsidRPr="00646BEE" w:rsidP="00E617D4">
            <w:pPr>
              <w:pStyle w:val="ListParagraph"/>
              <w:numPr>
                <w:ilvl w:val="0"/>
                <w:numId w:val="3"/>
              </w:numPr>
              <w:jc w:val="both"/>
              <w:rPr>
                <w:rFonts w:ascii="Arial" w:hAnsi="Arial" w:cs="Arial"/>
                <w:bCs/>
                <w:iCs/>
              </w:rPr>
            </w:pPr>
            <w:r w:rsidRPr="00646BEE">
              <w:rPr>
                <w:rFonts w:ascii="Arial" w:hAnsi="Arial" w:cs="Arial"/>
                <w:bCs/>
                <w:iCs/>
              </w:rPr>
              <w:t>Gas Oil Class A2</w:t>
            </w:r>
          </w:p>
          <w:p w:rsidR="00E617D4" w:rsidRPr="00646BEE" w:rsidP="00E617D4">
            <w:pPr>
              <w:pStyle w:val="ListParagraph"/>
              <w:numPr>
                <w:ilvl w:val="0"/>
                <w:numId w:val="3"/>
              </w:numPr>
              <w:jc w:val="both"/>
              <w:rPr>
                <w:rFonts w:ascii="Arial" w:hAnsi="Arial" w:cs="Arial"/>
                <w:bCs/>
                <w:iCs/>
              </w:rPr>
            </w:pPr>
            <w:r w:rsidRPr="00646BEE">
              <w:rPr>
                <w:rFonts w:ascii="Arial" w:hAnsi="Arial" w:cs="Arial"/>
                <w:bCs/>
                <w:iCs/>
              </w:rPr>
              <w:t>Kerosene Class C2</w:t>
            </w:r>
          </w:p>
          <w:p w:rsidR="00E617D4" w:rsidRPr="00646BEE" w:rsidP="00E617D4">
            <w:pPr>
              <w:pStyle w:val="ListParagraph"/>
              <w:numPr>
                <w:ilvl w:val="0"/>
                <w:numId w:val="3"/>
              </w:numPr>
              <w:jc w:val="both"/>
              <w:rPr>
                <w:rFonts w:ascii="Arial" w:hAnsi="Arial" w:cs="Arial"/>
                <w:bCs/>
                <w:iCs/>
              </w:rPr>
            </w:pPr>
            <w:r w:rsidRPr="00646BEE">
              <w:rPr>
                <w:rFonts w:ascii="Arial" w:hAnsi="Arial" w:cs="Arial"/>
                <w:bCs/>
                <w:iCs/>
              </w:rPr>
              <w:t>Heating Oil Substitute (e.g. Ultra 35)</w:t>
            </w:r>
          </w:p>
          <w:p w:rsidR="00E617D4" w:rsidRPr="00646BEE" w:rsidP="00E617D4">
            <w:pPr>
              <w:pStyle w:val="ListParagraph"/>
              <w:numPr>
                <w:ilvl w:val="0"/>
                <w:numId w:val="3"/>
              </w:numPr>
              <w:jc w:val="both"/>
              <w:rPr>
                <w:rFonts w:ascii="Arial" w:hAnsi="Arial" w:cs="Arial"/>
                <w:bCs/>
                <w:iCs/>
              </w:rPr>
            </w:pPr>
            <w:r w:rsidRPr="00646BEE">
              <w:rPr>
                <w:rFonts w:ascii="Arial" w:hAnsi="Arial" w:cs="Arial"/>
                <w:bCs/>
                <w:iCs/>
              </w:rPr>
              <w:t>Gas Oil Class D</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The government has recently announced that the entitlement of organisations to use Gas Oil (Class A2) rebated fuel will cease 1 April 2022, with sites having to switch to white diesel which is taxed at a higher rate.</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County Council sites that purchase heating oil include highway depots, outdoor education</w:t>
            </w:r>
          </w:p>
          <w:p w:rsidR="00E617D4" w:rsidRPr="00646BEE" w:rsidP="00EB1945">
            <w:pPr>
              <w:jc w:val="both"/>
              <w:rPr>
                <w:rFonts w:ascii="Arial" w:hAnsi="Arial" w:cs="Arial"/>
                <w:bCs/>
                <w:iCs/>
              </w:rPr>
            </w:pPr>
            <w:r w:rsidRPr="00646BEE">
              <w:rPr>
                <w:rFonts w:ascii="Arial" w:hAnsi="Arial" w:cs="Arial"/>
                <w:bCs/>
                <w:iCs/>
              </w:rPr>
              <w:t>centres, museums and libraries. Some school sites also purchase heating oils through the contract.</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Vehicle fuels:</w:t>
            </w:r>
          </w:p>
          <w:p w:rsidR="00E617D4" w:rsidRPr="00646BEE" w:rsidP="00E617D4">
            <w:pPr>
              <w:pStyle w:val="ListParagraph"/>
              <w:numPr>
                <w:ilvl w:val="0"/>
                <w:numId w:val="3"/>
              </w:numPr>
              <w:jc w:val="both"/>
              <w:rPr>
                <w:rFonts w:ascii="Arial" w:hAnsi="Arial" w:cs="Arial"/>
                <w:bCs/>
                <w:iCs/>
              </w:rPr>
            </w:pPr>
            <w:r w:rsidRPr="00646BEE">
              <w:rPr>
                <w:rFonts w:ascii="Arial" w:hAnsi="Arial" w:cs="Arial"/>
                <w:bCs/>
                <w:iCs/>
              </w:rPr>
              <w:t>Ultra Low Sulphur Diesel (USLD) or White Diesel (EN590)</w:t>
            </w:r>
          </w:p>
          <w:p w:rsidR="00E617D4" w:rsidRPr="00646BEE" w:rsidP="00E617D4">
            <w:pPr>
              <w:pStyle w:val="ListParagraph"/>
              <w:numPr>
                <w:ilvl w:val="0"/>
                <w:numId w:val="3"/>
              </w:numPr>
              <w:jc w:val="both"/>
              <w:rPr>
                <w:rFonts w:ascii="Arial" w:hAnsi="Arial" w:cs="Arial"/>
                <w:bCs/>
                <w:iCs/>
              </w:rPr>
            </w:pPr>
            <w:r w:rsidRPr="00646BEE">
              <w:rPr>
                <w:rFonts w:ascii="Arial" w:hAnsi="Arial" w:cs="Arial"/>
                <w:bCs/>
                <w:iCs/>
              </w:rPr>
              <w:t>Biodiesel</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Highway depots are bulk purchasers of vehicle fuel.</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Additional Products</w:t>
            </w:r>
          </w:p>
          <w:p w:rsidR="00E617D4" w:rsidRPr="00646BEE" w:rsidP="00E617D4">
            <w:pPr>
              <w:pStyle w:val="ListParagraph"/>
              <w:numPr>
                <w:ilvl w:val="0"/>
                <w:numId w:val="3"/>
              </w:numPr>
              <w:jc w:val="both"/>
              <w:rPr>
                <w:rFonts w:ascii="Arial" w:hAnsi="Arial" w:cs="Arial"/>
                <w:bCs/>
                <w:iCs/>
              </w:rPr>
            </w:pPr>
            <w:r w:rsidRPr="00646BEE">
              <w:rPr>
                <w:rFonts w:ascii="Arial" w:hAnsi="Arial" w:cs="Arial"/>
                <w:bCs/>
                <w:iCs/>
              </w:rPr>
              <w:t>AdBlue</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AdBlue is used to lower nitrous oxide that is omitted from Diesel engines exhausts. AdBlue reacts with Nitrous Oxides (NOx) absorbing the harmful elements, therefore producing lower emissions.</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AdBlue is a new requirement for the liquid fuels contracts as the County Council has steadily been increasing purchases of this product over recent years due to an increase in vehicles in the County Councils fleet requiring this supplement. It is currently spot-purchased as-when required. However, volumes are now at a level where it is believed that bulk purchasing will be beneficial and more cost effective.</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The estimated annual volumes of each type of fuel are as follows:</w:t>
            </w:r>
          </w:p>
          <w:p w:rsidR="00E617D4" w:rsidRPr="00646BEE" w:rsidP="00EB1945">
            <w:pPr>
              <w:jc w:val="both"/>
              <w:rPr>
                <w:rFonts w:ascii="Arial" w:hAnsi="Arial" w:cs="Arial"/>
                <w:bCs/>
                <w:iCs/>
              </w:rPr>
            </w:pPr>
          </w:p>
          <w:tbl>
            <w:tblPr>
              <w:tblStyle w:val="TableGrid"/>
              <w:tblW w:w="0" w:type="auto"/>
              <w:tblLook w:val="04A0"/>
            </w:tblPr>
            <w:tblGrid>
              <w:gridCol w:w="3539"/>
              <w:gridCol w:w="2268"/>
              <w:gridCol w:w="1985"/>
            </w:tblGrid>
            <w:tr w:rsidTr="00EB1945">
              <w:tblPrEx>
                <w:tblW w:w="0" w:type="auto"/>
                <w:tblLook w:val="04A0"/>
              </w:tblPrEx>
              <w:tc>
                <w:tcPr>
                  <w:tcW w:w="3539" w:type="dxa"/>
                  <w:shd w:val="clear" w:color="auto" w:fill="C00000"/>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Fuel</w:t>
                  </w:r>
                </w:p>
              </w:tc>
              <w:tc>
                <w:tcPr>
                  <w:tcW w:w="2268" w:type="dxa"/>
                  <w:shd w:val="clear" w:color="auto" w:fill="C00000"/>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Approx Volume</w:t>
                  </w:r>
                </w:p>
              </w:tc>
              <w:tc>
                <w:tcPr>
                  <w:tcW w:w="1985" w:type="dxa"/>
                  <w:shd w:val="clear" w:color="auto" w:fill="C00000"/>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Approx Spend</w:t>
                  </w:r>
                </w:p>
              </w:tc>
            </w:tr>
            <w:tr w:rsidTr="00EB1945">
              <w:tblPrEx>
                <w:tblW w:w="0" w:type="auto"/>
                <w:tblLook w:val="04A0"/>
              </w:tblPrEx>
              <w:tc>
                <w:tcPr>
                  <w:tcW w:w="3539" w:type="dxa"/>
                </w:tcPr>
                <w:p w:rsidR="00E617D4" w:rsidRPr="00646BEE" w:rsidP="00E537CF">
                  <w:pPr>
                    <w:framePr w:hSpace="180" w:wrap="around" w:vAnchor="page" w:hAnchor="margin" w:y="1613"/>
                    <w:rPr>
                      <w:rFonts w:ascii="Arial" w:hAnsi="Arial" w:cs="Arial"/>
                      <w:bCs/>
                    </w:rPr>
                  </w:pPr>
                  <w:r w:rsidRPr="00646BEE">
                    <w:rPr>
                      <w:rFonts w:ascii="Arial" w:hAnsi="Arial" w:cs="Arial"/>
                      <w:bCs/>
                    </w:rPr>
                    <w:t>White Diesel (ULSD) / Biodiesel</w:t>
                  </w:r>
                </w:p>
              </w:tc>
              <w:tc>
                <w:tcPr>
                  <w:tcW w:w="2268" w:type="dxa"/>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1,072,927</w:t>
                  </w:r>
                </w:p>
              </w:tc>
              <w:tc>
                <w:tcPr>
                  <w:tcW w:w="1985" w:type="dxa"/>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£983,087</w:t>
                  </w:r>
                </w:p>
              </w:tc>
            </w:tr>
            <w:tr w:rsidTr="00EB1945">
              <w:tblPrEx>
                <w:tblW w:w="0" w:type="auto"/>
                <w:tblLook w:val="04A0"/>
              </w:tblPrEx>
              <w:tc>
                <w:tcPr>
                  <w:tcW w:w="3539" w:type="dxa"/>
                </w:tcPr>
                <w:p w:rsidR="00E617D4" w:rsidRPr="00646BEE" w:rsidP="00E537CF">
                  <w:pPr>
                    <w:framePr w:hSpace="180" w:wrap="around" w:vAnchor="page" w:hAnchor="margin" w:y="1613"/>
                    <w:rPr>
                      <w:rFonts w:ascii="Arial" w:hAnsi="Arial" w:cs="Arial"/>
                      <w:bCs/>
                    </w:rPr>
                  </w:pPr>
                  <w:r w:rsidRPr="00646BEE">
                    <w:rPr>
                      <w:rFonts w:ascii="Arial" w:hAnsi="Arial" w:cs="Arial"/>
                      <w:bCs/>
                    </w:rPr>
                    <w:t>Gas Oil A2 (Red Diesel)</w:t>
                  </w:r>
                </w:p>
              </w:tc>
              <w:tc>
                <w:tcPr>
                  <w:tcW w:w="2268" w:type="dxa"/>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576,217</w:t>
                  </w:r>
                </w:p>
              </w:tc>
              <w:tc>
                <w:tcPr>
                  <w:tcW w:w="1985" w:type="dxa"/>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£260,057</w:t>
                  </w:r>
                </w:p>
              </w:tc>
            </w:tr>
            <w:tr w:rsidTr="00EB1945">
              <w:tblPrEx>
                <w:tblW w:w="0" w:type="auto"/>
                <w:tblLook w:val="04A0"/>
              </w:tblPrEx>
              <w:tc>
                <w:tcPr>
                  <w:tcW w:w="3539" w:type="dxa"/>
                </w:tcPr>
                <w:p w:rsidR="00E617D4" w:rsidRPr="00646BEE" w:rsidP="00E537CF">
                  <w:pPr>
                    <w:framePr w:hSpace="180" w:wrap="around" w:vAnchor="page" w:hAnchor="margin" w:y="1613"/>
                    <w:rPr>
                      <w:rFonts w:ascii="Arial" w:hAnsi="Arial" w:cs="Arial"/>
                      <w:bCs/>
                    </w:rPr>
                  </w:pPr>
                  <w:r w:rsidRPr="00646BEE">
                    <w:rPr>
                      <w:rFonts w:ascii="Arial" w:hAnsi="Arial" w:cs="Arial"/>
                      <w:bCs/>
                    </w:rPr>
                    <w:t>Gas Oil Class D</w:t>
                  </w:r>
                </w:p>
              </w:tc>
              <w:tc>
                <w:tcPr>
                  <w:tcW w:w="2268" w:type="dxa"/>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10,700</w:t>
                  </w:r>
                </w:p>
              </w:tc>
              <w:tc>
                <w:tcPr>
                  <w:tcW w:w="1985" w:type="dxa"/>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£4,101</w:t>
                  </w:r>
                </w:p>
              </w:tc>
            </w:tr>
            <w:tr w:rsidTr="00EB1945">
              <w:tblPrEx>
                <w:tblW w:w="0" w:type="auto"/>
                <w:tblLook w:val="04A0"/>
              </w:tblPrEx>
              <w:tc>
                <w:tcPr>
                  <w:tcW w:w="3539" w:type="dxa"/>
                </w:tcPr>
                <w:p w:rsidR="00E617D4" w:rsidRPr="00646BEE" w:rsidP="00E537CF">
                  <w:pPr>
                    <w:framePr w:hSpace="180" w:wrap="around" w:vAnchor="page" w:hAnchor="margin" w:y="1613"/>
                    <w:rPr>
                      <w:rFonts w:ascii="Arial" w:hAnsi="Arial" w:cs="Arial"/>
                      <w:bCs/>
                    </w:rPr>
                  </w:pPr>
                  <w:r w:rsidRPr="00646BEE">
                    <w:rPr>
                      <w:rFonts w:ascii="Arial" w:hAnsi="Arial" w:cs="Arial"/>
                      <w:bCs/>
                    </w:rPr>
                    <w:t>Heating Oil Substitute</w:t>
                  </w:r>
                </w:p>
              </w:tc>
              <w:tc>
                <w:tcPr>
                  <w:tcW w:w="2268" w:type="dxa"/>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43,713</w:t>
                  </w:r>
                </w:p>
              </w:tc>
              <w:tc>
                <w:tcPr>
                  <w:tcW w:w="1985" w:type="dxa"/>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£16,652</w:t>
                  </w:r>
                </w:p>
              </w:tc>
            </w:tr>
            <w:tr w:rsidTr="00EB1945">
              <w:tblPrEx>
                <w:tblW w:w="0" w:type="auto"/>
                <w:tblLook w:val="04A0"/>
              </w:tblPrEx>
              <w:tc>
                <w:tcPr>
                  <w:tcW w:w="3539" w:type="dxa"/>
                </w:tcPr>
                <w:p w:rsidR="00E617D4" w:rsidRPr="00646BEE" w:rsidP="00E537CF">
                  <w:pPr>
                    <w:framePr w:hSpace="180" w:wrap="around" w:vAnchor="page" w:hAnchor="margin" w:y="1613"/>
                    <w:rPr>
                      <w:rFonts w:ascii="Arial" w:hAnsi="Arial" w:cs="Arial"/>
                      <w:bCs/>
                    </w:rPr>
                  </w:pPr>
                  <w:r w:rsidRPr="00646BEE">
                    <w:rPr>
                      <w:rFonts w:ascii="Arial" w:hAnsi="Arial" w:cs="Arial"/>
                      <w:bCs/>
                    </w:rPr>
                    <w:t>Kerosene</w:t>
                  </w:r>
                </w:p>
              </w:tc>
              <w:tc>
                <w:tcPr>
                  <w:tcW w:w="2268" w:type="dxa"/>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14,557</w:t>
                  </w:r>
                </w:p>
              </w:tc>
              <w:tc>
                <w:tcPr>
                  <w:tcW w:w="1985" w:type="dxa"/>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£3,704</w:t>
                  </w:r>
                </w:p>
              </w:tc>
            </w:tr>
            <w:tr w:rsidTr="00EB1945">
              <w:tblPrEx>
                <w:tblW w:w="0" w:type="auto"/>
                <w:tblLook w:val="04A0"/>
              </w:tblPrEx>
              <w:tc>
                <w:tcPr>
                  <w:tcW w:w="3539" w:type="dxa"/>
                </w:tcPr>
                <w:p w:rsidR="00E617D4" w:rsidRPr="00646BEE" w:rsidP="00E537CF">
                  <w:pPr>
                    <w:framePr w:hSpace="180" w:wrap="around" w:vAnchor="page" w:hAnchor="margin" w:y="1613"/>
                    <w:rPr>
                      <w:rFonts w:ascii="Arial" w:hAnsi="Arial" w:cs="Arial"/>
                      <w:bCs/>
                    </w:rPr>
                  </w:pPr>
                  <w:r w:rsidRPr="00646BEE">
                    <w:rPr>
                      <w:rFonts w:ascii="Arial" w:hAnsi="Arial" w:cs="Arial"/>
                      <w:bCs/>
                    </w:rPr>
                    <w:t>Ad Blue</w:t>
                  </w:r>
                </w:p>
              </w:tc>
              <w:tc>
                <w:tcPr>
                  <w:tcW w:w="2268" w:type="dxa"/>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26,000</w:t>
                  </w:r>
                </w:p>
              </w:tc>
              <w:tc>
                <w:tcPr>
                  <w:tcW w:w="1985" w:type="dxa"/>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£15,080</w:t>
                  </w:r>
                </w:p>
              </w:tc>
            </w:tr>
            <w:tr w:rsidTr="00EB1945">
              <w:tblPrEx>
                <w:tblW w:w="0" w:type="auto"/>
                <w:tblLook w:val="04A0"/>
              </w:tblPrEx>
              <w:tc>
                <w:tcPr>
                  <w:tcW w:w="3539" w:type="dxa"/>
                </w:tcPr>
                <w:p w:rsidR="00E617D4" w:rsidRPr="00646BEE" w:rsidP="00E537CF">
                  <w:pPr>
                    <w:framePr w:hSpace="180" w:wrap="around" w:vAnchor="page" w:hAnchor="margin" w:y="1613"/>
                    <w:rPr>
                      <w:rFonts w:ascii="Arial" w:hAnsi="Arial" w:cs="Arial"/>
                      <w:bCs/>
                    </w:rPr>
                  </w:pPr>
                </w:p>
              </w:tc>
              <w:tc>
                <w:tcPr>
                  <w:tcW w:w="2268" w:type="dxa"/>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1,744,114</w:t>
                  </w:r>
                </w:p>
              </w:tc>
              <w:tc>
                <w:tcPr>
                  <w:tcW w:w="1985" w:type="dxa"/>
                </w:tcPr>
                <w:p w:rsidR="00E617D4" w:rsidRPr="00646BEE" w:rsidP="00E537CF">
                  <w:pPr>
                    <w:framePr w:hSpace="180" w:wrap="around" w:vAnchor="page" w:hAnchor="margin" w:y="1613"/>
                    <w:jc w:val="center"/>
                    <w:rPr>
                      <w:rFonts w:ascii="Arial" w:hAnsi="Arial" w:cs="Arial"/>
                      <w:bCs/>
                    </w:rPr>
                  </w:pPr>
                  <w:r w:rsidRPr="00646BEE">
                    <w:rPr>
                      <w:rFonts w:ascii="Arial" w:hAnsi="Arial" w:cs="Arial"/>
                      <w:bCs/>
                    </w:rPr>
                    <w:t>£1,282,681</w:t>
                  </w:r>
                </w:p>
              </w:tc>
            </w:tr>
          </w:tbl>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The current liquid fuels contracts expire on the 30 September 2021. The contracts require</w:t>
            </w:r>
          </w:p>
          <w:p w:rsidR="00E617D4" w:rsidRPr="00646BEE" w:rsidP="00EB1945">
            <w:pPr>
              <w:jc w:val="both"/>
              <w:rPr>
                <w:rFonts w:ascii="Arial" w:hAnsi="Arial" w:cs="Arial"/>
                <w:bCs/>
                <w:iCs/>
              </w:rPr>
            </w:pPr>
            <w:r w:rsidRPr="00646BEE">
              <w:rPr>
                <w:rFonts w:ascii="Arial" w:hAnsi="Arial" w:cs="Arial"/>
                <w:bCs/>
                <w:iCs/>
              </w:rPr>
              <w:t>re-procuring so that buildings can continue to be heated, and vehicles and plant remain operational.</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CCS national fuel frameworks have been used successfully for these contracts for the previous eight years with minimal complaints or issues over service quality. The framework providers access to directly compete the fuel with up to ten suppliers covering the North West region.</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Fuel prices from the CCS framework are made up of four elements:</w:t>
            </w:r>
          </w:p>
          <w:p w:rsidR="00E617D4" w:rsidRPr="00646BEE" w:rsidP="00E617D4">
            <w:pPr>
              <w:pStyle w:val="ListParagraph"/>
              <w:numPr>
                <w:ilvl w:val="0"/>
                <w:numId w:val="1"/>
              </w:numPr>
              <w:jc w:val="both"/>
              <w:rPr>
                <w:rFonts w:ascii="Arial" w:hAnsi="Arial" w:cs="Arial"/>
                <w:bCs/>
                <w:iCs/>
              </w:rPr>
            </w:pPr>
            <w:r w:rsidRPr="00646BEE">
              <w:rPr>
                <w:rFonts w:ascii="Arial" w:hAnsi="Arial" w:cs="Arial"/>
                <w:bCs/>
                <w:iCs/>
              </w:rPr>
              <w:t>Commodity price of the fuel</w:t>
            </w:r>
          </w:p>
          <w:p w:rsidR="00E617D4" w:rsidRPr="00646BEE" w:rsidP="00E617D4">
            <w:pPr>
              <w:pStyle w:val="ListParagraph"/>
              <w:numPr>
                <w:ilvl w:val="0"/>
                <w:numId w:val="1"/>
              </w:numPr>
              <w:jc w:val="both"/>
              <w:rPr>
                <w:rFonts w:ascii="Arial" w:hAnsi="Arial" w:cs="Arial"/>
                <w:bCs/>
                <w:iCs/>
              </w:rPr>
            </w:pPr>
            <w:r w:rsidRPr="00646BEE">
              <w:rPr>
                <w:rFonts w:ascii="Arial" w:hAnsi="Arial" w:cs="Arial"/>
                <w:bCs/>
                <w:iCs/>
              </w:rPr>
              <w:t>Duty</w:t>
            </w:r>
          </w:p>
          <w:p w:rsidR="00E617D4" w:rsidRPr="00646BEE" w:rsidP="00E617D4">
            <w:pPr>
              <w:pStyle w:val="ListParagraph"/>
              <w:numPr>
                <w:ilvl w:val="0"/>
                <w:numId w:val="1"/>
              </w:numPr>
              <w:jc w:val="both"/>
              <w:rPr>
                <w:rFonts w:ascii="Arial" w:hAnsi="Arial" w:cs="Arial"/>
                <w:bCs/>
                <w:iCs/>
              </w:rPr>
            </w:pPr>
            <w:r w:rsidRPr="00646BEE">
              <w:rPr>
                <w:rFonts w:ascii="Arial" w:hAnsi="Arial" w:cs="Arial"/>
                <w:bCs/>
                <w:iCs/>
              </w:rPr>
              <w:t>Supplier margin</w:t>
            </w:r>
          </w:p>
          <w:p w:rsidR="00E617D4" w:rsidRPr="00646BEE" w:rsidP="00E617D4">
            <w:pPr>
              <w:pStyle w:val="ListParagraph"/>
              <w:numPr>
                <w:ilvl w:val="0"/>
                <w:numId w:val="1"/>
              </w:numPr>
              <w:jc w:val="both"/>
              <w:rPr>
                <w:rFonts w:ascii="Arial" w:hAnsi="Arial" w:cs="Arial"/>
                <w:bCs/>
                <w:iCs/>
              </w:rPr>
            </w:pPr>
            <w:r w:rsidRPr="00646BEE">
              <w:rPr>
                <w:rFonts w:ascii="Arial" w:hAnsi="Arial" w:cs="Arial"/>
                <w:bCs/>
                <w:iCs/>
              </w:rPr>
              <w:t>CCS management charge</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 xml:space="preserve">The supplier margin and CCS management charge are fixed for the duration of the contract. </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The supplier margin will be determined by the further competition and covers supply costs, distribution costs, cost of credit, overheads, and profit. The current CCS management charge to use the framework is 0.20 pence per litre.</w:t>
            </w:r>
          </w:p>
          <w:p w:rsidR="00E617D4" w:rsidRPr="00646BEE" w:rsidP="00EB1945">
            <w:pPr>
              <w:jc w:val="both"/>
              <w:rPr>
                <w:rFonts w:ascii="Arial" w:hAnsi="Arial" w:cs="Arial"/>
                <w:bCs/>
                <w:iCs/>
              </w:rPr>
            </w:pPr>
            <w:r w:rsidRPr="00646BEE">
              <w:rPr>
                <w:rFonts w:ascii="Arial" w:hAnsi="Arial" w:cs="Arial"/>
                <w:bCs/>
                <w:iCs/>
              </w:rPr>
              <w:t xml:space="preserve"> </w:t>
            </w:r>
          </w:p>
          <w:p w:rsidR="00E617D4" w:rsidRPr="00646BEE" w:rsidP="00EB1945">
            <w:pPr>
              <w:jc w:val="both"/>
              <w:rPr>
                <w:rFonts w:ascii="Arial" w:hAnsi="Arial" w:cs="Arial"/>
                <w:bCs/>
                <w:iCs/>
              </w:rPr>
            </w:pPr>
            <w:r w:rsidRPr="00646BEE">
              <w:rPr>
                <w:rFonts w:ascii="Arial" w:hAnsi="Arial" w:cs="Arial"/>
                <w:bCs/>
                <w:iCs/>
              </w:rPr>
              <w:t>The commodity price of the fuel is set by CCS using a weekly lagged price calculated in conjunction with the Platts Index, an independent provider of information and benchmark prices for the commodities and energy markets.</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The CCS framework provides an OJEU compliant route to contracting with suppliers.</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r w:rsidRPr="00646BEE">
              <w:rPr>
                <w:rFonts w:ascii="Arial" w:hAnsi="Arial" w:cs="Arial"/>
                <w:bCs/>
                <w:iCs/>
              </w:rPr>
              <w:t>Benefits of using the framework include:</w:t>
            </w:r>
          </w:p>
          <w:p w:rsidR="00E617D4" w:rsidRPr="00646BEE" w:rsidP="00E617D4">
            <w:pPr>
              <w:pStyle w:val="ListParagraph"/>
              <w:numPr>
                <w:ilvl w:val="0"/>
                <w:numId w:val="1"/>
              </w:numPr>
              <w:jc w:val="both"/>
              <w:rPr>
                <w:rFonts w:ascii="Arial" w:hAnsi="Arial" w:cs="Arial"/>
                <w:bCs/>
                <w:iCs/>
              </w:rPr>
            </w:pPr>
            <w:r w:rsidRPr="00646BEE">
              <w:rPr>
                <w:rFonts w:ascii="Arial" w:hAnsi="Arial" w:cs="Arial"/>
                <w:bCs/>
                <w:iCs/>
              </w:rPr>
              <w:t>accessing established terms and conditions;</w:t>
            </w:r>
          </w:p>
          <w:p w:rsidR="00E617D4" w:rsidRPr="00646BEE" w:rsidP="00E617D4">
            <w:pPr>
              <w:pStyle w:val="ListParagraph"/>
              <w:numPr>
                <w:ilvl w:val="0"/>
                <w:numId w:val="1"/>
              </w:numPr>
              <w:jc w:val="both"/>
              <w:rPr>
                <w:rFonts w:ascii="Arial" w:hAnsi="Arial" w:cs="Arial"/>
                <w:bCs/>
                <w:iCs/>
              </w:rPr>
            </w:pPr>
            <w:r w:rsidRPr="00646BEE">
              <w:rPr>
                <w:rFonts w:ascii="Arial" w:hAnsi="Arial" w:cs="Arial"/>
                <w:bCs/>
                <w:iCs/>
              </w:rPr>
              <w:t>CCS undertaking the further competition on the Council's behalf (thus saving procurement administration time);</w:t>
            </w:r>
          </w:p>
          <w:p w:rsidR="00E617D4" w:rsidRPr="00646BEE" w:rsidP="00E617D4">
            <w:pPr>
              <w:pStyle w:val="ListParagraph"/>
              <w:numPr>
                <w:ilvl w:val="0"/>
                <w:numId w:val="2"/>
              </w:numPr>
              <w:jc w:val="both"/>
              <w:rPr>
                <w:rFonts w:ascii="Arial" w:hAnsi="Arial" w:cs="Arial"/>
                <w:bCs/>
                <w:iCs/>
              </w:rPr>
            </w:pPr>
            <w:r w:rsidRPr="00646BEE">
              <w:rPr>
                <w:rFonts w:ascii="Arial" w:hAnsi="Arial" w:cs="Arial"/>
                <w:bCs/>
                <w:iCs/>
              </w:rPr>
              <w:t>a lotted structure that provides access to regional and national suppliers,</w:t>
            </w:r>
          </w:p>
          <w:p w:rsidR="00E617D4" w:rsidRPr="00646BEE" w:rsidP="00E617D4">
            <w:pPr>
              <w:pStyle w:val="ListParagraph"/>
              <w:numPr>
                <w:ilvl w:val="0"/>
                <w:numId w:val="2"/>
              </w:numPr>
              <w:jc w:val="both"/>
              <w:rPr>
                <w:rFonts w:ascii="Arial" w:hAnsi="Arial" w:cs="Arial"/>
                <w:bCs/>
                <w:iCs/>
              </w:rPr>
            </w:pPr>
            <w:r w:rsidRPr="00646BEE">
              <w:rPr>
                <w:rFonts w:ascii="Arial" w:hAnsi="Arial" w:cs="Arial"/>
                <w:bCs/>
                <w:iCs/>
              </w:rPr>
              <w:t>contract management undertaken by CCS, including monitoring KPIs, and clear and</w:t>
            </w:r>
          </w:p>
          <w:p w:rsidR="00E617D4" w:rsidRPr="00646BEE" w:rsidP="00E617D4">
            <w:pPr>
              <w:pStyle w:val="ListParagraph"/>
              <w:numPr>
                <w:ilvl w:val="0"/>
                <w:numId w:val="2"/>
              </w:numPr>
              <w:jc w:val="both"/>
              <w:rPr>
                <w:rFonts w:ascii="Arial" w:hAnsi="Arial" w:cs="Arial"/>
                <w:bCs/>
                <w:iCs/>
              </w:rPr>
            </w:pPr>
            <w:r w:rsidRPr="00646BEE">
              <w:rPr>
                <w:rFonts w:ascii="Arial" w:hAnsi="Arial" w:cs="Arial"/>
                <w:bCs/>
                <w:iCs/>
              </w:rPr>
              <w:t>transparent pricing.</w:t>
            </w:r>
          </w:p>
          <w:p w:rsidR="00E617D4" w:rsidRPr="00646BEE" w:rsidP="00EB1945">
            <w:pPr>
              <w:jc w:val="both"/>
              <w:rPr>
                <w:rFonts w:ascii="Arial" w:hAnsi="Arial" w:cs="Arial"/>
                <w:bCs/>
                <w:iCs/>
              </w:rPr>
            </w:pPr>
          </w:p>
          <w:p w:rsidR="00E617D4" w:rsidRPr="00646BEE" w:rsidP="00EB1945">
            <w:pPr>
              <w:jc w:val="both"/>
              <w:rPr>
                <w:rFonts w:ascii="Arial" w:hAnsi="Arial" w:cs="Arial"/>
                <w:bCs/>
                <w:iCs/>
              </w:rPr>
            </w:pPr>
          </w:p>
        </w:tc>
      </w:tr>
    </w:tbl>
    <w:p w:rsidR="00B20C91"/>
    <w:p w:rsidR="00B20C91">
      <w:r>
        <w:br w:type="page"/>
      </w:r>
    </w:p>
    <w:tbl>
      <w:tblPr>
        <w:tblStyle w:val="TableGrid"/>
        <w:tblpPr w:leftFromText="180" w:rightFromText="180" w:vertAnchor="page" w:horzAnchor="margin" w:tblpY="1613"/>
        <w:tblW w:w="0" w:type="auto"/>
        <w:tblLook w:val="04A0"/>
      </w:tblPr>
      <w:tblGrid>
        <w:gridCol w:w="9016"/>
      </w:tblGrid>
      <w:tr w:rsidTr="00583307">
        <w:tblPrEx>
          <w:tblW w:w="0" w:type="auto"/>
          <w:tblLook w:val="04A0"/>
        </w:tblPrEx>
        <w:trPr>
          <w:trHeight w:val="700"/>
        </w:trPr>
        <w:tc>
          <w:tcPr>
            <w:tcW w:w="9016" w:type="dxa"/>
          </w:tcPr>
          <w:p w:rsidR="00430FF1" w:rsidRPr="004E02A4" w:rsidP="00583307">
            <w:pPr>
              <w:rPr>
                <w:rFonts w:ascii="Arial" w:hAnsi="Arial" w:cs="Arial"/>
                <w:b/>
                <w:sz w:val="24"/>
                <w:szCs w:val="24"/>
              </w:rPr>
            </w:pPr>
            <w:r w:rsidRPr="004E02A4">
              <w:rPr>
                <w:rFonts w:ascii="Arial" w:hAnsi="Arial" w:cs="Arial"/>
                <w:b/>
                <w:sz w:val="24"/>
                <w:szCs w:val="24"/>
              </w:rPr>
              <w:t>Procurement Title</w:t>
            </w:r>
          </w:p>
          <w:p w:rsidR="00430FF1" w:rsidRPr="003C02BC" w:rsidP="00583307">
            <w:pPr>
              <w:rPr>
                <w:rFonts w:ascii="Arial" w:hAnsi="Arial" w:cs="Arial"/>
              </w:rPr>
            </w:pPr>
            <w:r w:rsidRPr="00A61F65">
              <w:rPr>
                <w:rFonts w:ascii="Arial" w:hAnsi="Arial" w:cs="Arial"/>
              </w:rPr>
              <w:t>P</w:t>
            </w:r>
            <w:r>
              <w:rPr>
                <w:rFonts w:ascii="Arial" w:hAnsi="Arial" w:cs="Arial"/>
              </w:rPr>
              <w:t xml:space="preserve">rovision of </w:t>
            </w:r>
            <w:r w:rsidRPr="003C02BC">
              <w:rPr>
                <w:rFonts w:ascii="Arial" w:hAnsi="Arial" w:cs="Arial"/>
              </w:rPr>
              <w:t>Fostering Agency Placements Flexible Agreement</w:t>
            </w:r>
          </w:p>
        </w:tc>
      </w:tr>
      <w:tr w:rsidTr="00583307">
        <w:tblPrEx>
          <w:tblW w:w="0" w:type="auto"/>
          <w:tblLook w:val="04A0"/>
        </w:tblPrEx>
        <w:trPr>
          <w:trHeight w:val="4254"/>
        </w:trPr>
        <w:tc>
          <w:tcPr>
            <w:tcW w:w="9016" w:type="dxa"/>
          </w:tcPr>
          <w:p w:rsidR="00430FF1" w:rsidRPr="00A61F65" w:rsidP="00583307">
            <w:pPr>
              <w:rPr>
                <w:rFonts w:ascii="Arial" w:hAnsi="Arial" w:cs="Arial"/>
                <w:b/>
                <w:sz w:val="24"/>
                <w:szCs w:val="24"/>
              </w:rPr>
            </w:pPr>
            <w:r w:rsidRPr="00A61F65">
              <w:rPr>
                <w:rFonts w:ascii="Arial" w:hAnsi="Arial" w:cs="Arial"/>
                <w:b/>
                <w:sz w:val="24"/>
                <w:szCs w:val="24"/>
              </w:rPr>
              <w:t>Procurement Option</w:t>
            </w:r>
          </w:p>
          <w:p w:rsidR="00430FF1" w:rsidP="00583307">
            <w:pPr>
              <w:rPr>
                <w:rFonts w:ascii="Arial" w:hAnsi="Arial" w:cs="Arial"/>
              </w:rPr>
            </w:pPr>
            <w:r w:rsidRPr="00A61F65">
              <w:rPr>
                <w:rFonts w:ascii="Arial" w:hAnsi="Arial" w:cs="Arial"/>
              </w:rPr>
              <w:t xml:space="preserve">The proposal is </w:t>
            </w:r>
            <w:r>
              <w:rPr>
                <w:rFonts w:ascii="Arial" w:hAnsi="Arial" w:cs="Arial"/>
              </w:rPr>
              <w:t>for Lancashire County Council to procure a</w:t>
            </w:r>
            <w:r w:rsidRPr="00A61F65">
              <w:rPr>
                <w:rFonts w:ascii="Arial" w:hAnsi="Arial" w:cs="Arial"/>
              </w:rPr>
              <w:t xml:space="preserve"> </w:t>
            </w:r>
            <w:r>
              <w:rPr>
                <w:rFonts w:ascii="Arial" w:hAnsi="Arial" w:cs="Arial"/>
              </w:rPr>
              <w:t xml:space="preserve">Flexible Agreement which establishes a list of approved independent foster care agencies </w:t>
            </w:r>
            <w:r w:rsidRPr="00A61F65">
              <w:rPr>
                <w:rFonts w:ascii="Arial" w:hAnsi="Arial" w:cs="Arial"/>
              </w:rPr>
              <w:t xml:space="preserve">based on </w:t>
            </w:r>
            <w:r>
              <w:rPr>
                <w:rFonts w:ascii="Arial" w:hAnsi="Arial" w:cs="Arial"/>
              </w:rPr>
              <w:t xml:space="preserve">a robust </w:t>
            </w:r>
            <w:r w:rsidRPr="00A61F65">
              <w:rPr>
                <w:rFonts w:ascii="Arial" w:hAnsi="Arial" w:cs="Arial"/>
              </w:rPr>
              <w:t>selection criteria</w:t>
            </w:r>
            <w:r>
              <w:rPr>
                <w:rFonts w:ascii="Arial" w:hAnsi="Arial" w:cs="Arial"/>
              </w:rPr>
              <w:t xml:space="preserve">. </w:t>
            </w:r>
          </w:p>
          <w:p w:rsidR="00430FF1" w:rsidP="00583307">
            <w:pPr>
              <w:rPr>
                <w:rFonts w:ascii="Arial" w:hAnsi="Arial" w:cs="Arial"/>
              </w:rPr>
            </w:pPr>
          </w:p>
          <w:p w:rsidR="00430FF1" w:rsidP="00583307">
            <w:pPr>
              <w:rPr>
                <w:rFonts w:ascii="Arial" w:hAnsi="Arial" w:cs="Arial"/>
              </w:rPr>
            </w:pPr>
            <w:r>
              <w:rPr>
                <w:rFonts w:ascii="Arial" w:hAnsi="Arial" w:cs="Arial"/>
              </w:rPr>
              <w:t xml:space="preserve">Accepted agencies will be tiered based on the published quality and price criteria, with the Council working more collaboratively with tier 1 agencies.  </w:t>
            </w:r>
          </w:p>
          <w:p w:rsidR="00430FF1" w:rsidP="00583307">
            <w:pPr>
              <w:rPr>
                <w:rFonts w:ascii="Arial" w:hAnsi="Arial" w:cs="Arial"/>
              </w:rPr>
            </w:pPr>
          </w:p>
          <w:p w:rsidR="00430FF1" w:rsidP="00583307">
            <w:pPr>
              <w:rPr>
                <w:rFonts w:ascii="Arial" w:hAnsi="Arial" w:cs="Arial"/>
              </w:rPr>
            </w:pPr>
            <w:r>
              <w:rPr>
                <w:rFonts w:ascii="Arial" w:hAnsi="Arial" w:cs="Arial"/>
              </w:rPr>
              <w:t xml:space="preserve">Lancashire County Council will lead the procurement and it is intended to be in conjunction with Blackburn with Darwen Borough Council, Blackpool Council and Cumbria County Council (BBLC). </w:t>
            </w:r>
            <w:r w:rsidRPr="004E1369">
              <w:rPr>
                <w:rFonts w:ascii="Arial" w:hAnsi="Arial" w:cs="Arial"/>
              </w:rPr>
              <w:t>However</w:t>
            </w:r>
            <w:r>
              <w:rPr>
                <w:rFonts w:ascii="Arial" w:hAnsi="Arial" w:cs="Arial"/>
              </w:rPr>
              <w:t>,</w:t>
            </w:r>
            <w:r w:rsidRPr="004E1369">
              <w:rPr>
                <w:rFonts w:ascii="Arial" w:hAnsi="Arial" w:cs="Arial"/>
              </w:rPr>
              <w:t xml:space="preserve"> at this stage Lancashire ha</w:t>
            </w:r>
            <w:r>
              <w:rPr>
                <w:rFonts w:ascii="Arial" w:hAnsi="Arial" w:cs="Arial"/>
              </w:rPr>
              <w:t>s</w:t>
            </w:r>
            <w:r w:rsidRPr="004E1369">
              <w:rPr>
                <w:rFonts w:ascii="Arial" w:hAnsi="Arial" w:cs="Arial"/>
              </w:rPr>
              <w:t xml:space="preserve"> not received the </w:t>
            </w:r>
            <w:r>
              <w:rPr>
                <w:rFonts w:ascii="Arial" w:hAnsi="Arial" w:cs="Arial"/>
              </w:rPr>
              <w:t>final confirmation</w:t>
            </w:r>
            <w:r w:rsidRPr="004E1369">
              <w:rPr>
                <w:rFonts w:ascii="Arial" w:hAnsi="Arial" w:cs="Arial"/>
              </w:rPr>
              <w:t xml:space="preserve"> from the other three </w:t>
            </w:r>
            <w:r>
              <w:rPr>
                <w:rFonts w:ascii="Arial" w:hAnsi="Arial" w:cs="Arial"/>
              </w:rPr>
              <w:t>l</w:t>
            </w:r>
            <w:r w:rsidRPr="004E1369">
              <w:rPr>
                <w:rFonts w:ascii="Arial" w:hAnsi="Arial" w:cs="Arial"/>
              </w:rPr>
              <w:t xml:space="preserve">ocal </w:t>
            </w:r>
            <w:r>
              <w:rPr>
                <w:rFonts w:ascii="Arial" w:hAnsi="Arial" w:cs="Arial"/>
              </w:rPr>
              <w:t>a</w:t>
            </w:r>
            <w:r w:rsidRPr="004E1369">
              <w:rPr>
                <w:rFonts w:ascii="Arial" w:hAnsi="Arial" w:cs="Arial"/>
              </w:rPr>
              <w:t>uthorities. It must be noted that Lancashire will continue to procure this Flexible Agreement as per this report.</w:t>
            </w:r>
          </w:p>
          <w:p w:rsidR="00430FF1" w:rsidP="00583307">
            <w:pPr>
              <w:rPr>
                <w:rFonts w:ascii="Arial" w:hAnsi="Arial" w:cs="Arial"/>
              </w:rPr>
            </w:pPr>
          </w:p>
          <w:p w:rsidR="00430FF1" w:rsidRPr="00A92E4B" w:rsidP="00583307">
            <w:pPr>
              <w:rPr>
                <w:rFonts w:ascii="Arial" w:hAnsi="Arial" w:cs="Arial"/>
                <w:i/>
                <w:color w:val="FF0000"/>
              </w:rPr>
            </w:pPr>
            <w:r>
              <w:rPr>
                <w:rFonts w:ascii="Arial" w:hAnsi="Arial" w:cs="Arial"/>
              </w:rPr>
              <w:t>It will be the responsibility of the individual local authorities to commission their required services from the Flexible Agreement following the published criteria.</w:t>
            </w:r>
          </w:p>
        </w:tc>
      </w:tr>
      <w:tr w:rsidTr="00583307">
        <w:tblPrEx>
          <w:tblW w:w="0" w:type="auto"/>
          <w:tblLook w:val="04A0"/>
        </w:tblPrEx>
        <w:trPr>
          <w:trHeight w:val="1678"/>
        </w:trPr>
        <w:tc>
          <w:tcPr>
            <w:tcW w:w="9016" w:type="dxa"/>
          </w:tcPr>
          <w:p w:rsidR="00430FF1" w:rsidRPr="004E02A4" w:rsidP="00583307">
            <w:pPr>
              <w:rPr>
                <w:rFonts w:ascii="Arial" w:hAnsi="Arial" w:cs="Arial"/>
                <w:b/>
                <w:sz w:val="24"/>
                <w:szCs w:val="24"/>
              </w:rPr>
            </w:pPr>
            <w:r w:rsidRPr="004E02A4">
              <w:rPr>
                <w:rFonts w:ascii="Arial" w:hAnsi="Arial" w:cs="Arial"/>
                <w:b/>
                <w:sz w:val="24"/>
                <w:szCs w:val="24"/>
              </w:rPr>
              <w:t>New or Existing Provision</w:t>
            </w:r>
          </w:p>
          <w:p w:rsidR="00430FF1" w:rsidP="00583307">
            <w:pPr>
              <w:rPr>
                <w:rFonts w:ascii="Arial" w:hAnsi="Arial" w:cs="Arial"/>
              </w:rPr>
            </w:pPr>
            <w:r w:rsidRPr="004C0549">
              <w:rPr>
                <w:rFonts w:ascii="Arial" w:hAnsi="Arial" w:cs="Arial"/>
              </w:rPr>
              <w:t xml:space="preserve">Existing - Current contracts expire </w:t>
            </w:r>
            <w:r>
              <w:rPr>
                <w:rFonts w:ascii="Arial" w:hAnsi="Arial" w:cs="Arial"/>
              </w:rPr>
              <w:t xml:space="preserve">on </w:t>
            </w:r>
            <w:r w:rsidRPr="004C0549">
              <w:rPr>
                <w:rFonts w:ascii="Arial" w:hAnsi="Arial" w:cs="Arial"/>
              </w:rPr>
              <w:t xml:space="preserve">04/05/22. Existing </w:t>
            </w:r>
            <w:r>
              <w:rPr>
                <w:rFonts w:ascii="Arial" w:hAnsi="Arial" w:cs="Arial"/>
              </w:rPr>
              <w:t xml:space="preserve">placements will continue on the current contract’s terms and conditions whilst the child remains in the placement identified within the existing agreement until the child reaches eighteen. </w:t>
            </w:r>
          </w:p>
          <w:p w:rsidR="00430FF1" w:rsidP="00583307">
            <w:pPr>
              <w:rPr>
                <w:rFonts w:ascii="Arial" w:hAnsi="Arial" w:cs="Arial"/>
              </w:rPr>
            </w:pPr>
          </w:p>
          <w:p w:rsidR="00430FF1" w:rsidRPr="004C0549" w:rsidP="00583307">
            <w:pPr>
              <w:rPr>
                <w:rFonts w:ascii="Arial" w:hAnsi="Arial" w:cs="Arial"/>
              </w:rPr>
            </w:pPr>
            <w:r>
              <w:rPr>
                <w:rFonts w:ascii="Arial" w:hAnsi="Arial" w:cs="Arial"/>
              </w:rPr>
              <w:t xml:space="preserve">New placements will be governed by the new Flexible Agreement.  </w:t>
            </w:r>
          </w:p>
        </w:tc>
      </w:tr>
      <w:tr w:rsidTr="00583307">
        <w:tblPrEx>
          <w:tblW w:w="0" w:type="auto"/>
          <w:tblLook w:val="04A0"/>
        </w:tblPrEx>
        <w:trPr>
          <w:trHeight w:val="802"/>
        </w:trPr>
        <w:tc>
          <w:tcPr>
            <w:tcW w:w="9016" w:type="dxa"/>
          </w:tcPr>
          <w:p w:rsidR="00430FF1" w:rsidRPr="004E02A4" w:rsidP="00583307">
            <w:pPr>
              <w:rPr>
                <w:rFonts w:ascii="Arial" w:hAnsi="Arial" w:cs="Arial"/>
                <w:b/>
                <w:sz w:val="24"/>
                <w:szCs w:val="24"/>
              </w:rPr>
            </w:pPr>
            <w:r w:rsidRPr="004E02A4">
              <w:rPr>
                <w:rFonts w:ascii="Arial" w:hAnsi="Arial" w:cs="Arial"/>
                <w:b/>
                <w:sz w:val="24"/>
                <w:szCs w:val="24"/>
              </w:rPr>
              <w:t xml:space="preserve">Estimated </w:t>
            </w:r>
            <w:r>
              <w:rPr>
                <w:rFonts w:ascii="Arial" w:hAnsi="Arial" w:cs="Arial"/>
                <w:b/>
                <w:sz w:val="24"/>
                <w:szCs w:val="24"/>
              </w:rPr>
              <w:t xml:space="preserve">Contract </w:t>
            </w:r>
            <w:r w:rsidRPr="004E02A4">
              <w:rPr>
                <w:rFonts w:ascii="Arial" w:hAnsi="Arial" w:cs="Arial"/>
                <w:b/>
                <w:sz w:val="24"/>
                <w:szCs w:val="24"/>
              </w:rPr>
              <w:t>Value and Funding Arrangements</w:t>
            </w:r>
          </w:p>
          <w:p w:rsidR="00430FF1" w:rsidP="00583307">
            <w:pPr>
              <w:rPr>
                <w:rFonts w:ascii="Arial" w:hAnsi="Arial" w:cs="Arial"/>
              </w:rPr>
            </w:pPr>
            <w:r w:rsidRPr="00B24FB5">
              <w:rPr>
                <w:rFonts w:ascii="Arial" w:hAnsi="Arial" w:cs="Arial"/>
              </w:rPr>
              <w:t>The estimated</w:t>
            </w:r>
            <w:r>
              <w:rPr>
                <w:rFonts w:ascii="Arial" w:hAnsi="Arial" w:cs="Arial"/>
              </w:rPr>
              <w:t xml:space="preserve"> total </w:t>
            </w:r>
            <w:r w:rsidRPr="00B24FB5">
              <w:rPr>
                <w:rFonts w:ascii="Arial" w:hAnsi="Arial" w:cs="Arial"/>
              </w:rPr>
              <w:t xml:space="preserve">annual spend </w:t>
            </w:r>
            <w:r>
              <w:rPr>
                <w:rFonts w:ascii="Arial" w:hAnsi="Arial" w:cs="Arial"/>
              </w:rPr>
              <w:t>through the Flexible Agreement is £37.1m. This is based upon the weekly spend at 31</w:t>
            </w:r>
            <w:r w:rsidRPr="0014178A">
              <w:rPr>
                <w:rFonts w:ascii="Arial" w:hAnsi="Arial" w:cs="Arial"/>
                <w:vertAlign w:val="superscript"/>
              </w:rPr>
              <w:t>st</w:t>
            </w:r>
            <w:r>
              <w:rPr>
                <w:rFonts w:ascii="Arial" w:hAnsi="Arial" w:cs="Arial"/>
              </w:rPr>
              <w:t xml:space="preserve"> December 2020 of £39,272 for Blackburn with Darwen BC; £139,387 for Blackpool Council; £132,947 for Cumbria County Council and £400,917 for Lancashire County Council. </w:t>
            </w:r>
          </w:p>
          <w:p w:rsidR="00430FF1" w:rsidRPr="00E71D63" w:rsidP="00583307">
            <w:pPr>
              <w:rPr>
                <w:rFonts w:ascii="Arial" w:hAnsi="Arial" w:cs="Arial"/>
                <w:i/>
                <w:color w:val="FF0000"/>
              </w:rPr>
            </w:pPr>
          </w:p>
        </w:tc>
      </w:tr>
      <w:tr w:rsidTr="00583307">
        <w:tblPrEx>
          <w:tblW w:w="0" w:type="auto"/>
          <w:tblLook w:val="04A0"/>
        </w:tblPrEx>
        <w:trPr>
          <w:trHeight w:val="1687"/>
        </w:trPr>
        <w:tc>
          <w:tcPr>
            <w:tcW w:w="9016" w:type="dxa"/>
          </w:tcPr>
          <w:p w:rsidR="00430FF1" w:rsidRPr="0014178A" w:rsidP="00583307">
            <w:pPr>
              <w:rPr>
                <w:rFonts w:ascii="Arial" w:hAnsi="Arial" w:cs="Arial"/>
                <w:b/>
                <w:sz w:val="24"/>
                <w:szCs w:val="24"/>
              </w:rPr>
            </w:pPr>
            <w:r>
              <w:rPr>
                <w:rFonts w:ascii="Arial" w:hAnsi="Arial" w:cs="Arial"/>
                <w:b/>
                <w:sz w:val="24"/>
                <w:szCs w:val="24"/>
              </w:rPr>
              <w:t xml:space="preserve">Contract </w:t>
            </w:r>
            <w:r w:rsidRPr="0014178A">
              <w:rPr>
                <w:rFonts w:ascii="Arial" w:hAnsi="Arial" w:cs="Arial"/>
                <w:b/>
                <w:sz w:val="24"/>
                <w:szCs w:val="24"/>
              </w:rPr>
              <w:t>Duration</w:t>
            </w:r>
          </w:p>
          <w:p w:rsidR="00430FF1" w:rsidRPr="00D752B6" w:rsidP="00583307">
            <w:pPr>
              <w:rPr>
                <w:rFonts w:ascii="Arial" w:hAnsi="Arial" w:cs="Arial"/>
                <w:i/>
                <w:color w:val="FF0000"/>
                <w:sz w:val="24"/>
                <w:szCs w:val="24"/>
              </w:rPr>
            </w:pPr>
            <w:r w:rsidRPr="0014178A">
              <w:rPr>
                <w:rFonts w:ascii="Arial" w:hAnsi="Arial" w:cs="Arial"/>
              </w:rPr>
              <w:t xml:space="preserve">It is intended that the Flexible Agreement will remain in effect for 9 years. Service contracts awarded as call-off contracts from the Flexible Agreement will be up to </w:t>
            </w:r>
            <w:r>
              <w:rPr>
                <w:rFonts w:ascii="Arial" w:hAnsi="Arial" w:cs="Arial"/>
              </w:rPr>
              <w:t xml:space="preserve">the </w:t>
            </w:r>
            <w:r w:rsidRPr="0014178A">
              <w:rPr>
                <w:rFonts w:ascii="Arial" w:hAnsi="Arial" w:cs="Arial"/>
              </w:rPr>
              <w:t>full length of the individual fostering placement with the named agency and the fostering household</w:t>
            </w:r>
            <w:r>
              <w:rPr>
                <w:rFonts w:ascii="Arial" w:hAnsi="Arial" w:cs="Arial"/>
              </w:rPr>
              <w:t>.</w:t>
            </w:r>
            <w:r w:rsidRPr="0014178A">
              <w:rPr>
                <w:rFonts w:ascii="Arial" w:hAnsi="Arial" w:cs="Arial"/>
              </w:rPr>
              <w:t xml:space="preserve"> They will include initial periods, break points and potential extensions configured to balance stability of care and </w:t>
            </w:r>
            <w:r>
              <w:rPr>
                <w:rFonts w:ascii="Arial" w:hAnsi="Arial" w:cs="Arial"/>
              </w:rPr>
              <w:t xml:space="preserve">to </w:t>
            </w:r>
            <w:r w:rsidRPr="0014178A">
              <w:rPr>
                <w:rFonts w:ascii="Arial" w:hAnsi="Arial" w:cs="Arial"/>
              </w:rPr>
              <w:t>manage performance.</w:t>
            </w:r>
          </w:p>
        </w:tc>
      </w:tr>
      <w:tr w:rsidTr="00583307">
        <w:tblPrEx>
          <w:tblW w:w="0" w:type="auto"/>
          <w:tblLook w:val="04A0"/>
        </w:tblPrEx>
        <w:trPr>
          <w:trHeight w:val="699"/>
        </w:trPr>
        <w:tc>
          <w:tcPr>
            <w:tcW w:w="9016" w:type="dxa"/>
          </w:tcPr>
          <w:p w:rsidR="00430FF1" w:rsidRPr="004E02A4" w:rsidP="00583307">
            <w:pPr>
              <w:rPr>
                <w:rFonts w:ascii="Arial" w:hAnsi="Arial" w:cs="Arial"/>
                <w:b/>
                <w:sz w:val="24"/>
                <w:szCs w:val="24"/>
              </w:rPr>
            </w:pPr>
            <w:r w:rsidRPr="004E02A4">
              <w:rPr>
                <w:rFonts w:ascii="Arial" w:hAnsi="Arial" w:cs="Arial"/>
                <w:b/>
                <w:sz w:val="24"/>
                <w:szCs w:val="24"/>
              </w:rPr>
              <w:t>Lotting</w:t>
            </w:r>
          </w:p>
          <w:p w:rsidR="00430FF1" w:rsidP="00583307">
            <w:pPr>
              <w:rPr>
                <w:rFonts w:ascii="Arial" w:hAnsi="Arial" w:cs="Arial"/>
              </w:rPr>
            </w:pPr>
            <w:r w:rsidRPr="00C41549">
              <w:rPr>
                <w:rFonts w:ascii="Arial" w:hAnsi="Arial" w:cs="Arial"/>
              </w:rPr>
              <w:t xml:space="preserve">The Flexible Agreement will </w:t>
            </w:r>
            <w:r>
              <w:rPr>
                <w:rFonts w:ascii="Arial" w:hAnsi="Arial" w:cs="Arial"/>
              </w:rPr>
              <w:t>be split into two geographical areas:</w:t>
            </w:r>
          </w:p>
          <w:p w:rsidR="00430FF1" w:rsidP="00583307">
            <w:pPr>
              <w:rPr>
                <w:rFonts w:ascii="Arial" w:hAnsi="Arial" w:cs="Arial"/>
              </w:rPr>
            </w:pPr>
            <w:r>
              <w:rPr>
                <w:rFonts w:ascii="Arial" w:hAnsi="Arial" w:cs="Arial"/>
              </w:rPr>
              <w:t xml:space="preserve">Area A  - </w:t>
            </w:r>
            <w:r w:rsidRPr="0014178A">
              <w:rPr>
                <w:rFonts w:ascii="Arial" w:hAnsi="Arial" w:cs="Arial"/>
              </w:rPr>
              <w:t xml:space="preserve"> Blackburn</w:t>
            </w:r>
            <w:r>
              <w:rPr>
                <w:rFonts w:ascii="Arial" w:hAnsi="Arial" w:cs="Arial"/>
              </w:rPr>
              <w:t xml:space="preserve"> with Darwen</w:t>
            </w:r>
            <w:r w:rsidRPr="0014178A">
              <w:rPr>
                <w:rFonts w:ascii="Arial" w:hAnsi="Arial" w:cs="Arial"/>
              </w:rPr>
              <w:t xml:space="preserve">, Blackpool and Lancashire </w:t>
            </w:r>
          </w:p>
          <w:p w:rsidR="00430FF1" w:rsidP="00583307">
            <w:pPr>
              <w:rPr>
                <w:rFonts w:ascii="Arial" w:hAnsi="Arial" w:cs="Arial"/>
              </w:rPr>
            </w:pPr>
            <w:r>
              <w:rPr>
                <w:rFonts w:ascii="Arial" w:hAnsi="Arial" w:cs="Arial"/>
              </w:rPr>
              <w:t xml:space="preserve">Area B – </w:t>
            </w:r>
            <w:r w:rsidRPr="0014178A">
              <w:rPr>
                <w:rFonts w:ascii="Arial" w:hAnsi="Arial" w:cs="Arial"/>
              </w:rPr>
              <w:t xml:space="preserve"> Cumbria</w:t>
            </w:r>
            <w:r>
              <w:rPr>
                <w:rFonts w:ascii="Arial" w:hAnsi="Arial" w:cs="Arial"/>
              </w:rPr>
              <w:t xml:space="preserve"> </w:t>
            </w:r>
          </w:p>
          <w:p w:rsidR="00430FF1" w:rsidRPr="0014178A" w:rsidP="00583307">
            <w:pPr>
              <w:rPr>
                <w:rFonts w:ascii="Arial" w:hAnsi="Arial" w:cs="Arial"/>
                <w:sz w:val="18"/>
                <w:szCs w:val="18"/>
              </w:rPr>
            </w:pPr>
            <w:r w:rsidRPr="0014178A">
              <w:rPr>
                <w:rFonts w:ascii="Arial" w:hAnsi="Arial" w:cs="Arial"/>
                <w:sz w:val="18"/>
                <w:szCs w:val="18"/>
              </w:rPr>
              <w:t>(The precise footprint will be detail</w:t>
            </w:r>
            <w:r>
              <w:rPr>
                <w:rFonts w:ascii="Arial" w:hAnsi="Arial" w:cs="Arial"/>
                <w:sz w:val="18"/>
                <w:szCs w:val="18"/>
              </w:rPr>
              <w:t>ed</w:t>
            </w:r>
            <w:r w:rsidRPr="0014178A">
              <w:rPr>
                <w:rFonts w:ascii="Arial" w:hAnsi="Arial" w:cs="Arial"/>
                <w:sz w:val="18"/>
                <w:szCs w:val="18"/>
              </w:rPr>
              <w:t xml:space="preserve"> in the published procurement documents)</w:t>
            </w:r>
          </w:p>
          <w:p w:rsidR="00430FF1" w:rsidP="00583307">
            <w:pPr>
              <w:rPr>
                <w:rFonts w:ascii="Arial" w:hAnsi="Arial" w:cs="Arial"/>
              </w:rPr>
            </w:pPr>
          </w:p>
          <w:p w:rsidR="00430FF1" w:rsidRPr="00C41549" w:rsidP="00583307">
            <w:pPr>
              <w:rPr>
                <w:rFonts w:ascii="Arial" w:hAnsi="Arial" w:cs="Arial"/>
              </w:rPr>
            </w:pPr>
            <w:r>
              <w:rPr>
                <w:rFonts w:ascii="Arial" w:hAnsi="Arial" w:cs="Arial"/>
              </w:rPr>
              <w:t>Within each Area there will be</w:t>
            </w:r>
            <w:r w:rsidRPr="00C41549">
              <w:rPr>
                <w:rFonts w:ascii="Arial" w:hAnsi="Arial" w:cs="Arial"/>
              </w:rPr>
              <w:t xml:space="preserve"> three Lots based on service types:</w:t>
            </w:r>
          </w:p>
          <w:p w:rsidR="00430FF1" w:rsidRPr="00C41549" w:rsidP="00583307">
            <w:pPr>
              <w:rPr>
                <w:rFonts w:ascii="Arial" w:hAnsi="Arial" w:cs="Arial"/>
              </w:rPr>
            </w:pPr>
            <w:r w:rsidRPr="00C41549">
              <w:rPr>
                <w:rFonts w:ascii="Arial" w:hAnsi="Arial" w:cs="Arial"/>
              </w:rPr>
              <w:t>Lot 1 Mainstream</w:t>
            </w:r>
          </w:p>
          <w:p w:rsidR="00430FF1" w:rsidRPr="00C41549" w:rsidP="00583307">
            <w:pPr>
              <w:rPr>
                <w:rFonts w:ascii="Arial" w:hAnsi="Arial" w:cs="Arial"/>
              </w:rPr>
            </w:pPr>
            <w:r w:rsidRPr="00C41549">
              <w:rPr>
                <w:rFonts w:ascii="Arial" w:hAnsi="Arial" w:cs="Arial"/>
              </w:rPr>
              <w:t>Lot 2 Enhanced</w:t>
            </w:r>
          </w:p>
          <w:p w:rsidR="00430FF1" w:rsidP="00583307">
            <w:pPr>
              <w:rPr>
                <w:rFonts w:ascii="Arial" w:hAnsi="Arial" w:cs="Arial"/>
              </w:rPr>
            </w:pPr>
            <w:r w:rsidRPr="00C41549">
              <w:rPr>
                <w:rFonts w:ascii="Arial" w:hAnsi="Arial" w:cs="Arial"/>
              </w:rPr>
              <w:t>Lot 3 Step Down</w:t>
            </w:r>
          </w:p>
          <w:p w:rsidR="00430FF1" w:rsidP="00583307">
            <w:pPr>
              <w:rPr>
                <w:rFonts w:ascii="Arial" w:hAnsi="Arial" w:cs="Arial"/>
              </w:rPr>
            </w:pPr>
          </w:p>
          <w:p w:rsidR="00430FF1" w:rsidRPr="00C040D4" w:rsidP="00583307">
            <w:pPr>
              <w:rPr>
                <w:rFonts w:ascii="Arial" w:hAnsi="Arial" w:cs="Arial"/>
              </w:rPr>
            </w:pPr>
            <w:r>
              <w:rPr>
                <w:rFonts w:ascii="Arial" w:hAnsi="Arial" w:cs="Arial"/>
              </w:rPr>
              <w:t>Within the above lots an assessment will take place to determine which tier each agency should be placed.</w:t>
            </w:r>
          </w:p>
        </w:tc>
      </w:tr>
      <w:tr w:rsidTr="00583307">
        <w:tblPrEx>
          <w:tblW w:w="0" w:type="auto"/>
          <w:tblLook w:val="04A0"/>
        </w:tblPrEx>
        <w:trPr>
          <w:trHeight w:val="4253"/>
        </w:trPr>
        <w:tc>
          <w:tcPr>
            <w:tcW w:w="9016" w:type="dxa"/>
            <w:vAlign w:val="center"/>
          </w:tcPr>
          <w:p w:rsidR="00430FF1" w:rsidP="00583307">
            <w:pPr>
              <w:rPr>
                <w:rFonts w:ascii="Arial" w:hAnsi="Arial" w:cs="Arial"/>
                <w:b/>
                <w:sz w:val="24"/>
                <w:szCs w:val="24"/>
              </w:rPr>
            </w:pPr>
            <w:r w:rsidRPr="004E02A4">
              <w:rPr>
                <w:rFonts w:ascii="Arial" w:hAnsi="Arial" w:cs="Arial"/>
                <w:b/>
                <w:sz w:val="24"/>
                <w:szCs w:val="24"/>
              </w:rPr>
              <w:t>Evaluation</w:t>
            </w:r>
          </w:p>
          <w:p w:rsidR="00430FF1" w:rsidP="00583307">
            <w:pPr>
              <w:rPr>
                <w:rFonts w:ascii="Arial" w:hAnsi="Arial" w:cs="Arial"/>
              </w:rPr>
            </w:pPr>
            <w:r w:rsidRPr="007626E3">
              <w:rPr>
                <w:rFonts w:ascii="Arial" w:hAnsi="Arial" w:cs="Arial"/>
              </w:rPr>
              <w:t xml:space="preserve">Acceptance onto the </w:t>
            </w:r>
            <w:r>
              <w:rPr>
                <w:rFonts w:ascii="Arial" w:hAnsi="Arial" w:cs="Arial"/>
              </w:rPr>
              <w:t xml:space="preserve">Flexible Agreement </w:t>
            </w:r>
            <w:r w:rsidRPr="007626E3">
              <w:rPr>
                <w:rFonts w:ascii="Arial" w:hAnsi="Arial" w:cs="Arial"/>
              </w:rPr>
              <w:t xml:space="preserve">will be based on </w:t>
            </w:r>
            <w:r>
              <w:rPr>
                <w:rFonts w:ascii="Arial" w:hAnsi="Arial" w:cs="Arial"/>
              </w:rPr>
              <w:t>the published evaluation criteria and will include:</w:t>
            </w:r>
          </w:p>
          <w:p w:rsidR="00430FF1" w:rsidP="00583307">
            <w:pPr>
              <w:rPr>
                <w:rFonts w:ascii="Arial" w:hAnsi="Arial" w:cs="Arial"/>
              </w:rPr>
            </w:pPr>
          </w:p>
          <w:p w:rsidR="00430FF1" w:rsidP="00583307">
            <w:pPr>
              <w:rPr>
                <w:rFonts w:ascii="Arial" w:hAnsi="Arial" w:cs="Arial"/>
              </w:rPr>
            </w:pPr>
            <w:r w:rsidRPr="007626E3">
              <w:rPr>
                <w:rFonts w:ascii="Arial" w:hAnsi="Arial" w:cs="Arial"/>
              </w:rPr>
              <w:t>Lot specific selection criteria focussing upon OFSTED registration &amp; rating</w:t>
            </w:r>
            <w:r>
              <w:rPr>
                <w:rFonts w:ascii="Arial" w:hAnsi="Arial" w:cs="Arial"/>
              </w:rPr>
              <w:t xml:space="preserve"> (or equivalent), price and </w:t>
            </w:r>
            <w:r w:rsidRPr="0014178A">
              <w:rPr>
                <w:rFonts w:ascii="Arial" w:hAnsi="Arial" w:cs="Arial"/>
              </w:rPr>
              <w:t xml:space="preserve">the minimum level of </w:t>
            </w:r>
            <w:r>
              <w:rPr>
                <w:rFonts w:ascii="Arial" w:hAnsi="Arial" w:cs="Arial"/>
              </w:rPr>
              <w:t xml:space="preserve">fostering </w:t>
            </w:r>
            <w:r w:rsidRPr="0014178A">
              <w:rPr>
                <w:rFonts w:ascii="Arial" w:hAnsi="Arial" w:cs="Arial"/>
              </w:rPr>
              <w:t xml:space="preserve">households/carers within the specific geographical area. </w:t>
            </w:r>
          </w:p>
          <w:p w:rsidR="00430FF1" w:rsidRPr="0014178A" w:rsidP="00583307">
            <w:pPr>
              <w:rPr>
                <w:rFonts w:ascii="Arial" w:hAnsi="Arial" w:cs="Arial"/>
              </w:rPr>
            </w:pPr>
          </w:p>
          <w:p w:rsidR="00430FF1" w:rsidRPr="0014178A" w:rsidP="00583307">
            <w:pPr>
              <w:rPr>
                <w:rFonts w:ascii="Arial" w:hAnsi="Arial" w:cs="Arial"/>
              </w:rPr>
            </w:pPr>
            <w:r w:rsidRPr="0014178A">
              <w:rPr>
                <w:rFonts w:ascii="Arial" w:hAnsi="Arial" w:cs="Arial"/>
              </w:rPr>
              <w:t>Service Contracts will be awarded following an assessment of service delivery proposals based on the requirements of the specification for each Lot; this will include service specific requirements and an assessment of price.</w:t>
            </w:r>
          </w:p>
          <w:p w:rsidR="00430FF1" w:rsidRPr="0014178A" w:rsidP="00583307">
            <w:pPr>
              <w:rPr>
                <w:rFonts w:ascii="Arial" w:hAnsi="Arial" w:cs="Arial"/>
              </w:rPr>
            </w:pPr>
          </w:p>
          <w:p w:rsidR="00430FF1" w:rsidRPr="00DB369D" w:rsidP="00583307">
            <w:pPr>
              <w:rPr>
                <w:rFonts w:ascii="Arial" w:hAnsi="Arial" w:cs="Arial"/>
              </w:rPr>
            </w:pPr>
            <w:r w:rsidRPr="0014178A">
              <w:rPr>
                <w:rFonts w:ascii="Arial" w:hAnsi="Arial" w:cs="Arial"/>
              </w:rPr>
              <w:t>Individual placements will be commissioned by the individual</w:t>
            </w:r>
            <w:r>
              <w:rPr>
                <w:rFonts w:ascii="Arial" w:hAnsi="Arial" w:cs="Arial"/>
              </w:rPr>
              <w:t xml:space="preserve"> l</w:t>
            </w:r>
            <w:r w:rsidRPr="0014178A">
              <w:rPr>
                <w:rFonts w:ascii="Arial" w:hAnsi="Arial" w:cs="Arial"/>
              </w:rPr>
              <w:t xml:space="preserve">ocal </w:t>
            </w:r>
            <w:r>
              <w:rPr>
                <w:rFonts w:ascii="Arial" w:hAnsi="Arial" w:cs="Arial"/>
              </w:rPr>
              <w:t>a</w:t>
            </w:r>
            <w:r w:rsidRPr="0014178A">
              <w:rPr>
                <w:rFonts w:ascii="Arial" w:hAnsi="Arial" w:cs="Arial"/>
              </w:rPr>
              <w:t xml:space="preserve">uthority. The individual </w:t>
            </w:r>
            <w:r>
              <w:rPr>
                <w:rFonts w:ascii="Arial" w:hAnsi="Arial" w:cs="Arial"/>
              </w:rPr>
              <w:t>l</w:t>
            </w:r>
            <w:r w:rsidRPr="0014178A">
              <w:rPr>
                <w:rFonts w:ascii="Arial" w:hAnsi="Arial" w:cs="Arial"/>
              </w:rPr>
              <w:t xml:space="preserve">ocal </w:t>
            </w:r>
            <w:r>
              <w:rPr>
                <w:rFonts w:ascii="Arial" w:hAnsi="Arial" w:cs="Arial"/>
              </w:rPr>
              <w:t>a</w:t>
            </w:r>
            <w:r w:rsidRPr="0014178A">
              <w:rPr>
                <w:rFonts w:ascii="Arial" w:hAnsi="Arial" w:cs="Arial"/>
              </w:rPr>
              <w:t xml:space="preserve">uthority will be responsible for following the published call off process and will assess each placement offer to ensure that the service delivery proposals meet the service specific requirements. </w:t>
            </w:r>
          </w:p>
        </w:tc>
      </w:tr>
      <w:tr w:rsidTr="00583307">
        <w:tblPrEx>
          <w:tblW w:w="0" w:type="auto"/>
          <w:tblLook w:val="04A0"/>
        </w:tblPrEx>
        <w:trPr>
          <w:trHeight w:val="7220"/>
        </w:trPr>
        <w:tc>
          <w:tcPr>
            <w:tcW w:w="9016" w:type="dxa"/>
          </w:tcPr>
          <w:p w:rsidR="00430FF1" w:rsidRPr="004E02A4" w:rsidP="00583307">
            <w:pPr>
              <w:jc w:val="both"/>
              <w:rPr>
                <w:rFonts w:ascii="Arial" w:hAnsi="Arial" w:cs="Arial"/>
                <w:b/>
                <w:sz w:val="24"/>
                <w:szCs w:val="24"/>
              </w:rPr>
            </w:pPr>
            <w:r w:rsidRPr="004E02A4">
              <w:rPr>
                <w:rFonts w:ascii="Arial" w:hAnsi="Arial" w:cs="Arial"/>
                <w:b/>
                <w:sz w:val="24"/>
                <w:szCs w:val="24"/>
              </w:rPr>
              <w:t>Contract Detail</w:t>
            </w:r>
          </w:p>
          <w:p w:rsidR="00430FF1" w:rsidP="00583307">
            <w:pPr>
              <w:pStyle w:val="CommentText"/>
            </w:pPr>
          </w:p>
          <w:p w:rsidR="00430FF1" w:rsidP="00583307">
            <w:pPr>
              <w:pStyle w:val="CommentText"/>
              <w:rPr>
                <w:rFonts w:ascii="Arial" w:hAnsi="Arial" w:cs="Arial"/>
                <w:sz w:val="22"/>
                <w:szCs w:val="22"/>
              </w:rPr>
            </w:pPr>
            <w:r w:rsidRPr="0052702E">
              <w:rPr>
                <w:rFonts w:ascii="Arial" w:hAnsi="Arial" w:cs="Arial"/>
                <w:sz w:val="22"/>
                <w:szCs w:val="22"/>
              </w:rPr>
              <w:t xml:space="preserve">Each of the four authorities have a statutory duty to provide a sufficiency of foster care placements </w:t>
            </w:r>
            <w:r>
              <w:rPr>
                <w:rFonts w:ascii="Arial" w:hAnsi="Arial" w:cs="Arial"/>
                <w:sz w:val="22"/>
                <w:szCs w:val="22"/>
              </w:rPr>
              <w:t>f</w:t>
            </w:r>
            <w:r w:rsidRPr="0052702E">
              <w:rPr>
                <w:rFonts w:ascii="Arial" w:hAnsi="Arial" w:cs="Arial"/>
                <w:sz w:val="22"/>
                <w:szCs w:val="22"/>
              </w:rPr>
              <w:t xml:space="preserve">or Children Looked After </w:t>
            </w:r>
            <w:r>
              <w:rPr>
                <w:rFonts w:ascii="Arial" w:hAnsi="Arial" w:cs="Arial"/>
                <w:sz w:val="22"/>
                <w:szCs w:val="22"/>
              </w:rPr>
              <w:t xml:space="preserve">(CLA) </w:t>
            </w:r>
            <w:r w:rsidRPr="0052702E">
              <w:rPr>
                <w:rFonts w:ascii="Arial" w:hAnsi="Arial" w:cs="Arial"/>
                <w:sz w:val="22"/>
                <w:szCs w:val="22"/>
              </w:rPr>
              <w:t xml:space="preserve">that they hold responsibility for under Section 20 of the Children Act 1989. </w:t>
            </w:r>
          </w:p>
          <w:p w:rsidR="00430FF1" w:rsidP="00583307">
            <w:pPr>
              <w:pStyle w:val="CommentText"/>
              <w:rPr>
                <w:rFonts w:ascii="Arial" w:hAnsi="Arial" w:cs="Arial"/>
                <w:sz w:val="22"/>
                <w:szCs w:val="22"/>
              </w:rPr>
            </w:pPr>
          </w:p>
          <w:p w:rsidR="00430FF1" w:rsidP="00583307">
            <w:pPr>
              <w:pStyle w:val="CommentText"/>
              <w:rPr>
                <w:rFonts w:ascii="Arial" w:hAnsi="Arial" w:cs="Arial"/>
                <w:sz w:val="22"/>
                <w:szCs w:val="22"/>
              </w:rPr>
            </w:pPr>
            <w:r w:rsidRPr="0052702E">
              <w:rPr>
                <w:rFonts w:ascii="Arial" w:hAnsi="Arial" w:cs="Arial"/>
                <w:sz w:val="22"/>
                <w:szCs w:val="22"/>
              </w:rPr>
              <w:t xml:space="preserve">Since 2019 </w:t>
            </w:r>
            <w:r>
              <w:rPr>
                <w:rFonts w:ascii="Arial" w:hAnsi="Arial" w:cs="Arial"/>
                <w:sz w:val="22"/>
                <w:szCs w:val="22"/>
              </w:rPr>
              <w:t xml:space="preserve">the authorities </w:t>
            </w:r>
            <w:r w:rsidRPr="0052702E">
              <w:rPr>
                <w:rFonts w:ascii="Arial" w:hAnsi="Arial" w:cs="Arial"/>
                <w:sz w:val="22"/>
                <w:szCs w:val="22"/>
              </w:rPr>
              <w:t>have been collaborating as part of a DfE funded project to improve the sufficiency of foster care placements across their combined authorities. The first part of this project involved the development of a feasibility study</w:t>
            </w:r>
            <w:r>
              <w:rPr>
                <w:rFonts w:ascii="Arial" w:hAnsi="Arial" w:cs="Arial"/>
                <w:sz w:val="22"/>
                <w:szCs w:val="22"/>
              </w:rPr>
              <w:t>,</w:t>
            </w:r>
            <w:r w:rsidRPr="0052702E">
              <w:rPr>
                <w:rFonts w:ascii="Arial" w:hAnsi="Arial" w:cs="Arial"/>
                <w:sz w:val="22"/>
                <w:szCs w:val="22"/>
              </w:rPr>
              <w:t xml:space="preserve"> identifying methods the four authorities could utilise to increase their sufficiency. A key recommendation from this feasibility study was the development of a sub</w:t>
            </w:r>
            <w:r>
              <w:rPr>
                <w:rFonts w:ascii="Arial" w:hAnsi="Arial" w:cs="Arial"/>
                <w:sz w:val="22"/>
                <w:szCs w:val="22"/>
              </w:rPr>
              <w:t>-</w:t>
            </w:r>
            <w:r w:rsidRPr="0052702E">
              <w:rPr>
                <w:rFonts w:ascii="Arial" w:hAnsi="Arial" w:cs="Arial"/>
                <w:sz w:val="22"/>
                <w:szCs w:val="22"/>
              </w:rPr>
              <w:t>regional independent foster care agreement as outlined in this paper.</w:t>
            </w:r>
            <w:r>
              <w:rPr>
                <w:rFonts w:ascii="Arial" w:hAnsi="Arial" w:cs="Arial"/>
                <w:sz w:val="22"/>
                <w:szCs w:val="22"/>
              </w:rPr>
              <w:t xml:space="preserve"> </w:t>
            </w:r>
            <w:r w:rsidRPr="0052702E">
              <w:rPr>
                <w:rFonts w:ascii="Arial" w:hAnsi="Arial" w:cs="Arial"/>
                <w:sz w:val="22"/>
                <w:szCs w:val="22"/>
              </w:rPr>
              <w:t>By working together, the four authorities</w:t>
            </w:r>
            <w:r>
              <w:rPr>
                <w:rFonts w:ascii="Arial" w:hAnsi="Arial" w:cs="Arial"/>
                <w:sz w:val="22"/>
                <w:szCs w:val="22"/>
              </w:rPr>
              <w:t xml:space="preserve"> will</w:t>
            </w:r>
            <w:r w:rsidRPr="0052702E">
              <w:rPr>
                <w:rFonts w:ascii="Arial" w:hAnsi="Arial" w:cs="Arial"/>
                <w:sz w:val="22"/>
                <w:szCs w:val="22"/>
              </w:rPr>
              <w:t xml:space="preserve"> </w:t>
            </w:r>
            <w:r>
              <w:rPr>
                <w:rFonts w:ascii="Arial" w:hAnsi="Arial" w:cs="Arial"/>
                <w:sz w:val="22"/>
                <w:szCs w:val="22"/>
              </w:rPr>
              <w:t xml:space="preserve">develop the Flexible Agreement with the </w:t>
            </w:r>
            <w:r w:rsidRPr="0052702E">
              <w:rPr>
                <w:rFonts w:ascii="Arial" w:hAnsi="Arial" w:cs="Arial"/>
                <w:sz w:val="22"/>
                <w:szCs w:val="22"/>
              </w:rPr>
              <w:t>aim to influence the behaviour of these agencies to ensure they prioritise the children from the four authorities within the combined authorities’ geographical footprint.</w:t>
            </w:r>
          </w:p>
          <w:p w:rsidR="00430FF1" w:rsidP="00583307">
            <w:pPr>
              <w:pStyle w:val="CommentText"/>
              <w:rPr>
                <w:rFonts w:ascii="Arial" w:hAnsi="Arial" w:cs="Arial"/>
                <w:sz w:val="22"/>
                <w:szCs w:val="22"/>
              </w:rPr>
            </w:pPr>
          </w:p>
          <w:p w:rsidR="00430FF1" w:rsidRPr="0052702E" w:rsidP="00583307">
            <w:pPr>
              <w:pStyle w:val="CommentText"/>
              <w:rPr>
                <w:rFonts w:ascii="Arial" w:hAnsi="Arial" w:cs="Arial"/>
                <w:sz w:val="22"/>
                <w:szCs w:val="22"/>
              </w:rPr>
            </w:pPr>
            <w:r w:rsidRPr="0052702E">
              <w:rPr>
                <w:rFonts w:ascii="Arial" w:hAnsi="Arial" w:cs="Arial"/>
                <w:sz w:val="22"/>
                <w:szCs w:val="22"/>
              </w:rPr>
              <w:t>Each of the authorities maintain their own foster care service which assesses, registers, supervises and supports their own foster carers, however each of the authorities also rely upon independent foster care agencies to meet their overall need of local placements. On 31</w:t>
            </w:r>
            <w:r w:rsidRPr="0052702E">
              <w:rPr>
                <w:rFonts w:ascii="Arial" w:hAnsi="Arial" w:cs="Arial"/>
                <w:sz w:val="22"/>
                <w:szCs w:val="22"/>
                <w:vertAlign w:val="superscript"/>
              </w:rPr>
              <w:t>st</w:t>
            </w:r>
            <w:r w:rsidRPr="0052702E">
              <w:rPr>
                <w:rFonts w:ascii="Arial" w:hAnsi="Arial" w:cs="Arial"/>
                <w:sz w:val="22"/>
                <w:szCs w:val="22"/>
              </w:rPr>
              <w:t xml:space="preserve"> December 2020, the four authorities placed 8</w:t>
            </w:r>
            <w:r>
              <w:rPr>
                <w:rFonts w:ascii="Arial" w:hAnsi="Arial" w:cs="Arial"/>
                <w:sz w:val="22"/>
                <w:szCs w:val="22"/>
              </w:rPr>
              <w:t>73</w:t>
            </w:r>
            <w:r w:rsidRPr="0052702E">
              <w:rPr>
                <w:rFonts w:ascii="Arial" w:hAnsi="Arial" w:cs="Arial"/>
                <w:sz w:val="22"/>
                <w:szCs w:val="22"/>
              </w:rPr>
              <w:t xml:space="preserve"> CLA with independent foster care agencies. </w:t>
            </w:r>
          </w:p>
          <w:p w:rsidR="00430FF1" w:rsidRPr="0052702E" w:rsidP="00583307">
            <w:pPr>
              <w:pStyle w:val="CommentText"/>
              <w:rPr>
                <w:rFonts w:ascii="Arial" w:hAnsi="Arial" w:cs="Arial"/>
                <w:sz w:val="22"/>
                <w:szCs w:val="22"/>
              </w:rPr>
            </w:pPr>
          </w:p>
          <w:p w:rsidR="00430FF1" w:rsidP="00583307">
            <w:pPr>
              <w:pStyle w:val="CommentText"/>
              <w:rPr>
                <w:rFonts w:ascii="Arial" w:hAnsi="Arial" w:cs="Arial"/>
                <w:sz w:val="22"/>
                <w:szCs w:val="22"/>
              </w:rPr>
            </w:pPr>
            <w:r w:rsidRPr="0052702E">
              <w:rPr>
                <w:rFonts w:ascii="Arial" w:hAnsi="Arial" w:cs="Arial"/>
                <w:sz w:val="22"/>
                <w:szCs w:val="22"/>
              </w:rPr>
              <w:t>On 31</w:t>
            </w:r>
            <w:r w:rsidRPr="009156E7">
              <w:rPr>
                <w:rFonts w:ascii="Arial" w:hAnsi="Arial" w:cs="Arial"/>
                <w:sz w:val="22"/>
                <w:szCs w:val="22"/>
                <w:vertAlign w:val="superscript"/>
              </w:rPr>
              <w:t>st</w:t>
            </w:r>
            <w:r w:rsidRPr="0052702E">
              <w:rPr>
                <w:rFonts w:ascii="Arial" w:hAnsi="Arial" w:cs="Arial"/>
                <w:sz w:val="22"/>
                <w:szCs w:val="22"/>
              </w:rPr>
              <w:t xml:space="preserve"> March 2020 (most recent published figures), </w:t>
            </w:r>
            <w:r>
              <w:rPr>
                <w:rFonts w:ascii="Arial" w:hAnsi="Arial" w:cs="Arial"/>
                <w:sz w:val="22"/>
                <w:szCs w:val="22"/>
              </w:rPr>
              <w:t>t</w:t>
            </w:r>
            <w:r w:rsidRPr="0052702E">
              <w:rPr>
                <w:rFonts w:ascii="Arial" w:hAnsi="Arial" w:cs="Arial"/>
                <w:sz w:val="22"/>
                <w:szCs w:val="22"/>
              </w:rPr>
              <w:t>he four authorities combined CLA population was 388</w:t>
            </w:r>
            <w:r>
              <w:rPr>
                <w:rFonts w:ascii="Arial" w:hAnsi="Arial" w:cs="Arial"/>
                <w:sz w:val="22"/>
                <w:szCs w:val="22"/>
              </w:rPr>
              <w:t>1</w:t>
            </w:r>
            <w:r w:rsidRPr="0052702E">
              <w:rPr>
                <w:rFonts w:ascii="Arial" w:hAnsi="Arial" w:cs="Arial"/>
                <w:sz w:val="22"/>
                <w:szCs w:val="22"/>
              </w:rPr>
              <w:t xml:space="preserve">, with 2606 of these CLA placed within Foster Care. </w:t>
            </w:r>
          </w:p>
          <w:p w:rsidR="00430FF1" w:rsidP="00583307">
            <w:pPr>
              <w:pStyle w:val="CommentText"/>
              <w:rPr>
                <w:rFonts w:ascii="Arial" w:hAnsi="Arial" w:cs="Arial"/>
                <w:sz w:val="22"/>
                <w:szCs w:val="22"/>
              </w:rPr>
            </w:pPr>
          </w:p>
          <w:tbl>
            <w:tblPr>
              <w:tblStyle w:val="TableGrid"/>
              <w:tblW w:w="0" w:type="auto"/>
              <w:tblLook w:val="04A0"/>
            </w:tblPr>
            <w:tblGrid>
              <w:gridCol w:w="2314"/>
              <w:gridCol w:w="2253"/>
              <w:gridCol w:w="2196"/>
              <w:gridCol w:w="2027"/>
            </w:tblGrid>
            <w:tr w:rsidTr="00583307">
              <w:tblPrEx>
                <w:tblW w:w="0" w:type="auto"/>
                <w:tblLook w:val="04A0"/>
              </w:tblPrEx>
              <w:tc>
                <w:tcPr>
                  <w:tcW w:w="2314" w:type="dxa"/>
                </w:tcPr>
                <w:p w:rsidR="00430FF1" w:rsidRPr="0052702E" w:rsidP="00E537CF">
                  <w:pPr>
                    <w:pStyle w:val="CommentText"/>
                    <w:framePr w:hSpace="180" w:wrap="around" w:vAnchor="page" w:hAnchor="margin" w:y="1613"/>
                    <w:rPr>
                      <w:rFonts w:ascii="Arial" w:hAnsi="Arial" w:cs="Arial"/>
                      <w:sz w:val="22"/>
                      <w:szCs w:val="22"/>
                    </w:rPr>
                  </w:pPr>
                </w:p>
              </w:tc>
              <w:tc>
                <w:tcPr>
                  <w:tcW w:w="2253"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Children Looked After</w:t>
                  </w:r>
                </w:p>
              </w:tc>
              <w:tc>
                <w:tcPr>
                  <w:tcW w:w="2196"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Foster Care</w:t>
                  </w:r>
                </w:p>
              </w:tc>
              <w:tc>
                <w:tcPr>
                  <w:tcW w:w="2027"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Independent Foster Care (31/12/20</w:t>
                  </w:r>
                  <w:r>
                    <w:rPr>
                      <w:rFonts w:ascii="Arial" w:hAnsi="Arial" w:cs="Arial"/>
                      <w:sz w:val="22"/>
                      <w:szCs w:val="22"/>
                    </w:rPr>
                    <w:t>)</w:t>
                  </w:r>
                </w:p>
              </w:tc>
            </w:tr>
            <w:tr w:rsidTr="00583307">
              <w:tblPrEx>
                <w:tblW w:w="0" w:type="auto"/>
                <w:tblLook w:val="04A0"/>
              </w:tblPrEx>
              <w:tc>
                <w:tcPr>
                  <w:tcW w:w="2314"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Blackburn with Darwen</w:t>
                  </w:r>
                </w:p>
              </w:tc>
              <w:tc>
                <w:tcPr>
                  <w:tcW w:w="2253"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411</w:t>
                  </w:r>
                </w:p>
              </w:tc>
              <w:tc>
                <w:tcPr>
                  <w:tcW w:w="2196"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269</w:t>
                  </w:r>
                </w:p>
              </w:tc>
              <w:tc>
                <w:tcPr>
                  <w:tcW w:w="2027"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48</w:t>
                  </w:r>
                </w:p>
              </w:tc>
            </w:tr>
            <w:tr w:rsidTr="00583307">
              <w:tblPrEx>
                <w:tblW w:w="0" w:type="auto"/>
                <w:tblLook w:val="04A0"/>
              </w:tblPrEx>
              <w:tc>
                <w:tcPr>
                  <w:tcW w:w="2314"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Blackpool</w:t>
                  </w:r>
                </w:p>
              </w:tc>
              <w:tc>
                <w:tcPr>
                  <w:tcW w:w="2253"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652</w:t>
                  </w:r>
                </w:p>
              </w:tc>
              <w:tc>
                <w:tcPr>
                  <w:tcW w:w="2196"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469</w:t>
                  </w:r>
                </w:p>
              </w:tc>
              <w:tc>
                <w:tcPr>
                  <w:tcW w:w="2027"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170</w:t>
                  </w:r>
                </w:p>
              </w:tc>
            </w:tr>
            <w:tr w:rsidTr="00583307">
              <w:tblPrEx>
                <w:tblW w:w="0" w:type="auto"/>
                <w:tblLook w:val="04A0"/>
              </w:tblPrEx>
              <w:tc>
                <w:tcPr>
                  <w:tcW w:w="2314"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Cumbria</w:t>
                  </w:r>
                </w:p>
              </w:tc>
              <w:tc>
                <w:tcPr>
                  <w:tcW w:w="2253"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72</w:t>
                  </w:r>
                  <w:r>
                    <w:rPr>
                      <w:rFonts w:ascii="Arial" w:hAnsi="Arial" w:cs="Arial"/>
                      <w:sz w:val="22"/>
                      <w:szCs w:val="22"/>
                    </w:rPr>
                    <w:t>2</w:t>
                  </w:r>
                </w:p>
              </w:tc>
              <w:tc>
                <w:tcPr>
                  <w:tcW w:w="2196"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525</w:t>
                  </w:r>
                </w:p>
              </w:tc>
              <w:tc>
                <w:tcPr>
                  <w:tcW w:w="2027"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15</w:t>
                  </w:r>
                  <w:r>
                    <w:rPr>
                      <w:rFonts w:ascii="Arial" w:hAnsi="Arial" w:cs="Arial"/>
                      <w:sz w:val="22"/>
                      <w:szCs w:val="22"/>
                    </w:rPr>
                    <w:t>7</w:t>
                  </w:r>
                </w:p>
              </w:tc>
            </w:tr>
            <w:tr w:rsidTr="00583307">
              <w:tblPrEx>
                <w:tblW w:w="0" w:type="auto"/>
                <w:tblLook w:val="04A0"/>
              </w:tblPrEx>
              <w:tc>
                <w:tcPr>
                  <w:tcW w:w="2314"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Lancashire</w:t>
                  </w:r>
                </w:p>
              </w:tc>
              <w:tc>
                <w:tcPr>
                  <w:tcW w:w="2253"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2096</w:t>
                  </w:r>
                </w:p>
              </w:tc>
              <w:tc>
                <w:tcPr>
                  <w:tcW w:w="2196"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1343</w:t>
                  </w:r>
                </w:p>
              </w:tc>
              <w:tc>
                <w:tcPr>
                  <w:tcW w:w="2027" w:type="dxa"/>
                </w:tcPr>
                <w:p w:rsidR="00430FF1" w:rsidRPr="0052702E" w:rsidP="00E537CF">
                  <w:pPr>
                    <w:pStyle w:val="CommentText"/>
                    <w:framePr w:hSpace="180" w:wrap="around" w:vAnchor="page" w:hAnchor="margin" w:y="1613"/>
                    <w:rPr>
                      <w:rFonts w:ascii="Arial" w:hAnsi="Arial" w:cs="Arial"/>
                      <w:sz w:val="22"/>
                      <w:szCs w:val="22"/>
                    </w:rPr>
                  </w:pPr>
                  <w:r>
                    <w:rPr>
                      <w:rFonts w:ascii="Arial" w:hAnsi="Arial" w:cs="Arial"/>
                      <w:sz w:val="22"/>
                      <w:szCs w:val="22"/>
                    </w:rPr>
                    <w:t>498</w:t>
                  </w:r>
                </w:p>
              </w:tc>
            </w:tr>
            <w:tr w:rsidTr="00583307">
              <w:tblPrEx>
                <w:tblW w:w="0" w:type="auto"/>
                <w:tblLook w:val="04A0"/>
              </w:tblPrEx>
              <w:tc>
                <w:tcPr>
                  <w:tcW w:w="2314"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Combined</w:t>
                  </w:r>
                </w:p>
              </w:tc>
              <w:tc>
                <w:tcPr>
                  <w:tcW w:w="2253"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388</w:t>
                  </w:r>
                  <w:r>
                    <w:rPr>
                      <w:rFonts w:ascii="Arial" w:hAnsi="Arial" w:cs="Arial"/>
                      <w:sz w:val="22"/>
                      <w:szCs w:val="22"/>
                    </w:rPr>
                    <w:t>1</w:t>
                  </w:r>
                </w:p>
              </w:tc>
              <w:tc>
                <w:tcPr>
                  <w:tcW w:w="2196"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2606</w:t>
                  </w:r>
                </w:p>
              </w:tc>
              <w:tc>
                <w:tcPr>
                  <w:tcW w:w="2027" w:type="dxa"/>
                </w:tcPr>
                <w:p w:rsidR="00430FF1" w:rsidRPr="0052702E" w:rsidP="00E537CF">
                  <w:pPr>
                    <w:pStyle w:val="CommentText"/>
                    <w:framePr w:hSpace="180" w:wrap="around" w:vAnchor="page" w:hAnchor="margin" w:y="1613"/>
                    <w:rPr>
                      <w:rFonts w:ascii="Arial" w:hAnsi="Arial" w:cs="Arial"/>
                      <w:sz w:val="22"/>
                      <w:szCs w:val="22"/>
                    </w:rPr>
                  </w:pPr>
                  <w:r w:rsidRPr="0052702E">
                    <w:rPr>
                      <w:rFonts w:ascii="Arial" w:hAnsi="Arial" w:cs="Arial"/>
                      <w:sz w:val="22"/>
                      <w:szCs w:val="22"/>
                    </w:rPr>
                    <w:t>8</w:t>
                  </w:r>
                  <w:r>
                    <w:rPr>
                      <w:rFonts w:ascii="Arial" w:hAnsi="Arial" w:cs="Arial"/>
                      <w:sz w:val="22"/>
                      <w:szCs w:val="22"/>
                    </w:rPr>
                    <w:t>73</w:t>
                  </w:r>
                </w:p>
              </w:tc>
            </w:tr>
          </w:tbl>
          <w:p w:rsidR="00430FF1" w:rsidP="00583307">
            <w:pPr>
              <w:pStyle w:val="CommentText"/>
              <w:rPr>
                <w:rFonts w:ascii="Arial" w:hAnsi="Arial" w:cs="Arial"/>
                <w:sz w:val="22"/>
                <w:szCs w:val="22"/>
              </w:rPr>
            </w:pPr>
            <w:r>
              <w:rPr>
                <w:rFonts w:ascii="Arial" w:hAnsi="Arial" w:cs="Arial"/>
                <w:sz w:val="22"/>
                <w:szCs w:val="22"/>
              </w:rPr>
              <w:t xml:space="preserve">The Flexible Agreement </w:t>
            </w:r>
            <w:r w:rsidRPr="0052702E">
              <w:rPr>
                <w:rFonts w:ascii="Arial" w:hAnsi="Arial" w:cs="Arial"/>
                <w:sz w:val="22"/>
                <w:szCs w:val="22"/>
              </w:rPr>
              <w:t xml:space="preserve">will provide the availability of a greater number of </w:t>
            </w:r>
            <w:r>
              <w:rPr>
                <w:rFonts w:ascii="Arial" w:hAnsi="Arial" w:cs="Arial"/>
                <w:sz w:val="22"/>
                <w:szCs w:val="22"/>
              </w:rPr>
              <w:t xml:space="preserve">independent </w:t>
            </w:r>
            <w:r w:rsidRPr="0052702E">
              <w:rPr>
                <w:rFonts w:ascii="Arial" w:hAnsi="Arial" w:cs="Arial"/>
                <w:sz w:val="22"/>
                <w:szCs w:val="22"/>
              </w:rPr>
              <w:t xml:space="preserve">foster care agencies which can be utilised based on individual need. </w:t>
            </w:r>
          </w:p>
          <w:p w:rsidR="00430FF1" w:rsidRPr="0052702E" w:rsidP="00583307">
            <w:pPr>
              <w:pStyle w:val="CommentText"/>
              <w:rPr>
                <w:rFonts w:ascii="Arial" w:hAnsi="Arial" w:cs="Arial"/>
                <w:sz w:val="22"/>
                <w:szCs w:val="22"/>
              </w:rPr>
            </w:pPr>
          </w:p>
          <w:p w:rsidR="00430FF1" w:rsidP="00583307">
            <w:pPr>
              <w:rPr>
                <w:rFonts w:ascii="Arial" w:hAnsi="Arial" w:cs="Arial"/>
              </w:rPr>
            </w:pPr>
            <w:r>
              <w:rPr>
                <w:rFonts w:ascii="Arial" w:hAnsi="Arial" w:cs="Arial"/>
              </w:rPr>
              <w:t>As part of the application process agencies</w:t>
            </w:r>
            <w:r w:rsidRPr="0052702E">
              <w:rPr>
                <w:rFonts w:ascii="Arial" w:hAnsi="Arial" w:cs="Arial"/>
              </w:rPr>
              <w:t xml:space="preserve"> will select whether they wish to be part </w:t>
            </w:r>
            <w:r>
              <w:rPr>
                <w:rFonts w:ascii="Arial" w:hAnsi="Arial" w:cs="Arial"/>
              </w:rPr>
              <w:t xml:space="preserve">of Area A -  </w:t>
            </w:r>
            <w:r w:rsidRPr="0014178A">
              <w:rPr>
                <w:rFonts w:ascii="Arial" w:hAnsi="Arial" w:cs="Arial"/>
              </w:rPr>
              <w:t>Blackburn</w:t>
            </w:r>
            <w:r>
              <w:rPr>
                <w:rFonts w:ascii="Arial" w:hAnsi="Arial" w:cs="Arial"/>
              </w:rPr>
              <w:t xml:space="preserve"> with Darwen</w:t>
            </w:r>
            <w:r w:rsidRPr="0014178A">
              <w:rPr>
                <w:rFonts w:ascii="Arial" w:hAnsi="Arial" w:cs="Arial"/>
              </w:rPr>
              <w:t>, Blackpool and Lancashire</w:t>
            </w:r>
            <w:r>
              <w:rPr>
                <w:rFonts w:ascii="Arial" w:hAnsi="Arial" w:cs="Arial"/>
              </w:rPr>
              <w:t xml:space="preserve"> and/or Area B – </w:t>
            </w:r>
            <w:r w:rsidRPr="0014178A">
              <w:rPr>
                <w:rFonts w:ascii="Arial" w:hAnsi="Arial" w:cs="Arial"/>
              </w:rPr>
              <w:t xml:space="preserve"> Cumbria</w:t>
            </w:r>
            <w:r>
              <w:rPr>
                <w:rFonts w:ascii="Arial" w:hAnsi="Arial" w:cs="Arial"/>
              </w:rPr>
              <w:t>.</w:t>
            </w:r>
          </w:p>
          <w:p w:rsidR="00430FF1" w:rsidRPr="0052702E" w:rsidP="00583307">
            <w:pPr>
              <w:pStyle w:val="CommentText"/>
              <w:rPr>
                <w:rFonts w:ascii="Arial" w:hAnsi="Arial" w:cs="Arial"/>
                <w:sz w:val="22"/>
                <w:szCs w:val="22"/>
              </w:rPr>
            </w:pPr>
          </w:p>
          <w:p w:rsidR="00430FF1" w:rsidP="00583307">
            <w:pPr>
              <w:pStyle w:val="CommentText"/>
              <w:rPr>
                <w:rFonts w:ascii="Arial" w:hAnsi="Arial" w:cs="Arial"/>
                <w:sz w:val="22"/>
                <w:szCs w:val="22"/>
              </w:rPr>
            </w:pPr>
            <w:r w:rsidRPr="0052702E">
              <w:rPr>
                <w:rFonts w:ascii="Arial" w:hAnsi="Arial" w:cs="Arial"/>
                <w:sz w:val="22"/>
                <w:szCs w:val="22"/>
              </w:rPr>
              <w:t>There will be a staged evaluation. The minimum selection criteria for the Agreement will</w:t>
            </w:r>
            <w:r>
              <w:rPr>
                <w:rFonts w:ascii="Arial" w:hAnsi="Arial" w:cs="Arial"/>
                <w:sz w:val="22"/>
                <w:szCs w:val="22"/>
              </w:rPr>
              <w:t xml:space="preserve"> evaluate</w:t>
            </w:r>
            <w:r w:rsidRPr="0052702E">
              <w:rPr>
                <w:rFonts w:ascii="Arial" w:hAnsi="Arial" w:cs="Arial"/>
                <w:sz w:val="22"/>
                <w:szCs w:val="22"/>
              </w:rPr>
              <w:t xml:space="preserve"> </w:t>
            </w:r>
            <w:r>
              <w:rPr>
                <w:rFonts w:ascii="Arial" w:hAnsi="Arial" w:cs="Arial"/>
                <w:sz w:val="22"/>
                <w:szCs w:val="22"/>
              </w:rPr>
              <w:t>t</w:t>
            </w:r>
            <w:r w:rsidRPr="0052702E">
              <w:rPr>
                <w:rFonts w:ascii="Arial" w:hAnsi="Arial" w:cs="Arial"/>
                <w:sz w:val="22"/>
                <w:szCs w:val="22"/>
              </w:rPr>
              <w:t xml:space="preserve">echnical and </w:t>
            </w:r>
            <w:r>
              <w:rPr>
                <w:rFonts w:ascii="Arial" w:hAnsi="Arial" w:cs="Arial"/>
                <w:sz w:val="22"/>
                <w:szCs w:val="22"/>
              </w:rPr>
              <w:t>p</w:t>
            </w:r>
            <w:r w:rsidRPr="0052702E">
              <w:rPr>
                <w:rFonts w:ascii="Arial" w:hAnsi="Arial" w:cs="Arial"/>
                <w:sz w:val="22"/>
                <w:szCs w:val="22"/>
              </w:rPr>
              <w:t xml:space="preserve">rofessional </w:t>
            </w:r>
            <w:r>
              <w:rPr>
                <w:rFonts w:ascii="Arial" w:hAnsi="Arial" w:cs="Arial"/>
                <w:sz w:val="22"/>
                <w:szCs w:val="22"/>
              </w:rPr>
              <w:t>a</w:t>
            </w:r>
            <w:r w:rsidRPr="0052702E">
              <w:rPr>
                <w:rFonts w:ascii="Arial" w:hAnsi="Arial" w:cs="Arial"/>
                <w:sz w:val="22"/>
                <w:szCs w:val="22"/>
              </w:rPr>
              <w:t>bility</w:t>
            </w:r>
            <w:r>
              <w:rPr>
                <w:rFonts w:ascii="Arial" w:hAnsi="Arial" w:cs="Arial"/>
                <w:sz w:val="22"/>
                <w:szCs w:val="22"/>
              </w:rPr>
              <w:t>, e</w:t>
            </w:r>
            <w:r w:rsidRPr="0052702E">
              <w:rPr>
                <w:rFonts w:ascii="Arial" w:hAnsi="Arial" w:cs="Arial"/>
                <w:sz w:val="22"/>
                <w:szCs w:val="22"/>
              </w:rPr>
              <w:t xml:space="preserve">conomic and financial </w:t>
            </w:r>
            <w:r>
              <w:rPr>
                <w:rFonts w:ascii="Arial" w:hAnsi="Arial" w:cs="Arial"/>
                <w:sz w:val="22"/>
                <w:szCs w:val="22"/>
              </w:rPr>
              <w:t>s</w:t>
            </w:r>
            <w:r w:rsidRPr="0052702E">
              <w:rPr>
                <w:rFonts w:ascii="Arial" w:hAnsi="Arial" w:cs="Arial"/>
                <w:sz w:val="22"/>
                <w:szCs w:val="22"/>
              </w:rPr>
              <w:t>tanding</w:t>
            </w:r>
            <w:r>
              <w:rPr>
                <w:rFonts w:ascii="Arial" w:hAnsi="Arial" w:cs="Arial"/>
                <w:sz w:val="22"/>
                <w:szCs w:val="22"/>
              </w:rPr>
              <w:t>. It will also require agencies to have</w:t>
            </w:r>
            <w:r w:rsidRPr="0052702E">
              <w:rPr>
                <w:rFonts w:ascii="Arial" w:hAnsi="Arial" w:cs="Arial"/>
                <w:sz w:val="22"/>
                <w:szCs w:val="22"/>
              </w:rPr>
              <w:t xml:space="preserve"> at least </w:t>
            </w:r>
            <w:r>
              <w:rPr>
                <w:rFonts w:ascii="Arial" w:hAnsi="Arial" w:cs="Arial"/>
                <w:sz w:val="22"/>
                <w:szCs w:val="22"/>
              </w:rPr>
              <w:t>two</w:t>
            </w:r>
            <w:r w:rsidRPr="0052702E">
              <w:rPr>
                <w:rFonts w:ascii="Arial" w:hAnsi="Arial" w:cs="Arial"/>
                <w:sz w:val="22"/>
                <w:szCs w:val="22"/>
              </w:rPr>
              <w:t xml:space="preserve"> fostering households within the combined geographical footprint and </w:t>
            </w:r>
            <w:r>
              <w:rPr>
                <w:rFonts w:ascii="Arial" w:hAnsi="Arial" w:cs="Arial"/>
                <w:sz w:val="22"/>
                <w:szCs w:val="22"/>
              </w:rPr>
              <w:t>to be</w:t>
            </w:r>
            <w:r w:rsidRPr="0052702E">
              <w:rPr>
                <w:rFonts w:ascii="Arial" w:hAnsi="Arial" w:cs="Arial"/>
                <w:sz w:val="22"/>
                <w:szCs w:val="22"/>
              </w:rPr>
              <w:t xml:space="preserve"> registered by OFSTED and hav</w:t>
            </w:r>
            <w:r>
              <w:rPr>
                <w:rFonts w:ascii="Arial" w:hAnsi="Arial" w:cs="Arial"/>
                <w:sz w:val="22"/>
                <w:szCs w:val="22"/>
              </w:rPr>
              <w:t>e</w:t>
            </w:r>
            <w:r w:rsidRPr="0052702E">
              <w:rPr>
                <w:rFonts w:ascii="Arial" w:hAnsi="Arial" w:cs="Arial"/>
                <w:sz w:val="22"/>
                <w:szCs w:val="22"/>
              </w:rPr>
              <w:t xml:space="preserve"> a rating of requires improvement and above</w:t>
            </w:r>
            <w:r>
              <w:rPr>
                <w:rFonts w:ascii="Arial" w:hAnsi="Arial" w:cs="Arial"/>
                <w:sz w:val="22"/>
                <w:szCs w:val="22"/>
              </w:rPr>
              <w:t>,</w:t>
            </w:r>
            <w:r w:rsidRPr="0052702E">
              <w:rPr>
                <w:rFonts w:ascii="Arial" w:hAnsi="Arial" w:cs="Arial"/>
                <w:sz w:val="22"/>
                <w:szCs w:val="22"/>
              </w:rPr>
              <w:t xml:space="preserve"> or equivalent. </w:t>
            </w:r>
          </w:p>
          <w:p w:rsidR="00430FF1" w:rsidRPr="0052702E" w:rsidP="00583307">
            <w:pPr>
              <w:pStyle w:val="CommentText"/>
              <w:rPr>
                <w:rFonts w:ascii="Arial" w:hAnsi="Arial" w:cs="Arial"/>
                <w:sz w:val="22"/>
                <w:szCs w:val="22"/>
              </w:rPr>
            </w:pPr>
          </w:p>
          <w:p w:rsidR="00430FF1" w:rsidP="00583307">
            <w:pPr>
              <w:pStyle w:val="CommentText"/>
              <w:rPr>
                <w:rFonts w:ascii="Arial" w:hAnsi="Arial" w:cs="Arial"/>
                <w:sz w:val="22"/>
                <w:szCs w:val="22"/>
              </w:rPr>
            </w:pPr>
            <w:r w:rsidRPr="0052702E">
              <w:rPr>
                <w:rFonts w:ascii="Arial" w:hAnsi="Arial" w:cs="Arial"/>
                <w:sz w:val="22"/>
                <w:szCs w:val="22"/>
              </w:rPr>
              <w:t xml:space="preserve">Those </w:t>
            </w:r>
            <w:r>
              <w:rPr>
                <w:rFonts w:ascii="Arial" w:hAnsi="Arial" w:cs="Arial"/>
                <w:sz w:val="22"/>
                <w:szCs w:val="22"/>
              </w:rPr>
              <w:t>agencies</w:t>
            </w:r>
            <w:r w:rsidRPr="0052702E">
              <w:rPr>
                <w:rFonts w:ascii="Arial" w:hAnsi="Arial" w:cs="Arial"/>
                <w:sz w:val="22"/>
                <w:szCs w:val="22"/>
              </w:rPr>
              <w:t xml:space="preserve"> who pass this criteria will then be assessed for the Lots they have applied for</w:t>
            </w:r>
            <w:r>
              <w:rPr>
                <w:rFonts w:ascii="Arial" w:hAnsi="Arial" w:cs="Arial"/>
                <w:sz w:val="22"/>
                <w:szCs w:val="22"/>
              </w:rPr>
              <w:t xml:space="preserve"> and it will be determined which tier within the Lot they will be placed. </w:t>
            </w:r>
          </w:p>
          <w:p w:rsidR="00430FF1" w:rsidRPr="0052702E" w:rsidP="00583307">
            <w:pPr>
              <w:pStyle w:val="CommentText"/>
              <w:rPr>
                <w:rFonts w:ascii="Arial" w:hAnsi="Arial" w:cs="Arial"/>
                <w:sz w:val="22"/>
                <w:szCs w:val="22"/>
              </w:rPr>
            </w:pPr>
          </w:p>
          <w:p w:rsidR="00430FF1" w:rsidP="00583307">
            <w:pPr>
              <w:pStyle w:val="CommentText"/>
              <w:rPr>
                <w:rFonts w:ascii="Arial" w:hAnsi="Arial" w:cs="Arial"/>
                <w:sz w:val="22"/>
                <w:szCs w:val="22"/>
              </w:rPr>
            </w:pPr>
            <w:r>
              <w:rPr>
                <w:rFonts w:ascii="Arial" w:hAnsi="Arial" w:cs="Arial"/>
                <w:sz w:val="22"/>
                <w:szCs w:val="22"/>
              </w:rPr>
              <w:t>Once the Flexible Agreement is awarded</w:t>
            </w:r>
            <w:r w:rsidRPr="0052702E">
              <w:rPr>
                <w:rFonts w:ascii="Arial" w:hAnsi="Arial" w:cs="Arial"/>
                <w:sz w:val="22"/>
                <w:szCs w:val="22"/>
              </w:rPr>
              <w:t xml:space="preserve"> each authority will be responsible for </w:t>
            </w:r>
            <w:r>
              <w:rPr>
                <w:rFonts w:ascii="Arial" w:hAnsi="Arial" w:cs="Arial"/>
                <w:sz w:val="22"/>
                <w:szCs w:val="22"/>
              </w:rPr>
              <w:t>commissioning placements</w:t>
            </w:r>
            <w:r w:rsidRPr="0052702E">
              <w:rPr>
                <w:rFonts w:ascii="Arial" w:hAnsi="Arial" w:cs="Arial"/>
                <w:sz w:val="22"/>
                <w:szCs w:val="22"/>
              </w:rPr>
              <w:t xml:space="preserve"> </w:t>
            </w:r>
            <w:r>
              <w:rPr>
                <w:rFonts w:ascii="Arial" w:hAnsi="Arial" w:cs="Arial"/>
                <w:sz w:val="22"/>
                <w:szCs w:val="22"/>
              </w:rPr>
              <w:t>from a Flexible Agreement agency</w:t>
            </w:r>
            <w:r w:rsidRPr="0052702E">
              <w:rPr>
                <w:rFonts w:ascii="Arial" w:hAnsi="Arial" w:cs="Arial"/>
                <w:sz w:val="22"/>
                <w:szCs w:val="22"/>
              </w:rPr>
              <w:t xml:space="preserve"> for their own needs and will be responsible for the contract management and payment of all fees. </w:t>
            </w:r>
          </w:p>
          <w:p w:rsidR="00430FF1" w:rsidP="00583307">
            <w:pPr>
              <w:pStyle w:val="CommentText"/>
              <w:rPr>
                <w:rFonts w:ascii="Arial" w:hAnsi="Arial" w:cs="Arial"/>
                <w:sz w:val="22"/>
                <w:szCs w:val="22"/>
              </w:rPr>
            </w:pPr>
          </w:p>
          <w:p w:rsidR="00430FF1" w:rsidP="00583307">
            <w:pPr>
              <w:rPr>
                <w:rFonts w:ascii="Arial" w:hAnsi="Arial" w:cs="Arial"/>
              </w:rPr>
            </w:pPr>
            <w:r>
              <w:rPr>
                <w:rFonts w:ascii="Arial" w:hAnsi="Arial" w:cs="Arial"/>
              </w:rPr>
              <w:t xml:space="preserve">A tier review will take place annually to ensure agencies maintain the required level of quality and prove to be working collaboratively with the authority. </w:t>
            </w:r>
          </w:p>
          <w:p w:rsidR="00430FF1" w:rsidP="00583307">
            <w:pPr>
              <w:rPr>
                <w:rFonts w:ascii="Arial" w:hAnsi="Arial" w:cs="Arial"/>
              </w:rPr>
            </w:pPr>
          </w:p>
          <w:p w:rsidR="00430FF1" w:rsidP="00583307">
            <w:pPr>
              <w:rPr>
                <w:rFonts w:ascii="Arial" w:hAnsi="Arial" w:cs="Arial"/>
              </w:rPr>
            </w:pPr>
            <w:r>
              <w:rPr>
                <w:rFonts w:ascii="Arial" w:hAnsi="Arial" w:cs="Arial"/>
              </w:rPr>
              <w:t xml:space="preserve">Every three years the Flexible Agreement will be open for new agencies to apply and existing agencies will be reassessed. </w:t>
            </w:r>
          </w:p>
          <w:p w:rsidR="00430FF1" w:rsidRPr="0052702E" w:rsidP="00583307">
            <w:pPr>
              <w:pStyle w:val="CommentText"/>
              <w:rPr>
                <w:rFonts w:ascii="Arial" w:hAnsi="Arial" w:cs="Arial"/>
                <w:sz w:val="22"/>
                <w:szCs w:val="22"/>
              </w:rPr>
            </w:pPr>
          </w:p>
          <w:p w:rsidR="00430FF1" w:rsidRPr="0052702E" w:rsidP="00583307">
            <w:pPr>
              <w:pStyle w:val="CommentText"/>
              <w:rPr>
                <w:rFonts w:ascii="Arial" w:hAnsi="Arial" w:cs="Arial"/>
                <w:sz w:val="22"/>
                <w:szCs w:val="22"/>
              </w:rPr>
            </w:pPr>
            <w:r w:rsidRPr="0052702E">
              <w:rPr>
                <w:rFonts w:ascii="Arial" w:hAnsi="Arial" w:cs="Arial"/>
                <w:sz w:val="22"/>
                <w:szCs w:val="22"/>
              </w:rPr>
              <w:t xml:space="preserve">The </w:t>
            </w:r>
            <w:r>
              <w:rPr>
                <w:rFonts w:ascii="Arial" w:hAnsi="Arial" w:cs="Arial"/>
                <w:sz w:val="22"/>
                <w:szCs w:val="22"/>
              </w:rPr>
              <w:t>Flexible Agreement</w:t>
            </w:r>
            <w:r w:rsidRPr="0052702E">
              <w:rPr>
                <w:rFonts w:ascii="Arial" w:hAnsi="Arial" w:cs="Arial"/>
                <w:sz w:val="22"/>
                <w:szCs w:val="22"/>
              </w:rPr>
              <w:t xml:space="preserve"> is expected to commence on</w:t>
            </w:r>
            <w:r>
              <w:rPr>
                <w:rFonts w:ascii="Arial" w:hAnsi="Arial" w:cs="Arial"/>
                <w:sz w:val="22"/>
                <w:szCs w:val="22"/>
              </w:rPr>
              <w:t xml:space="preserve"> Tuesday 3</w:t>
            </w:r>
            <w:r w:rsidRPr="0052702E">
              <w:rPr>
                <w:rFonts w:ascii="Arial" w:hAnsi="Arial" w:cs="Arial"/>
                <w:sz w:val="22"/>
                <w:szCs w:val="22"/>
              </w:rPr>
              <w:t xml:space="preserve"> May 2022 with the </w:t>
            </w:r>
          </w:p>
          <w:p w:rsidR="00430FF1" w:rsidRPr="009156E7" w:rsidP="00583307">
            <w:pPr>
              <w:pStyle w:val="CommentText"/>
              <w:rPr>
                <w:rFonts w:ascii="Arial" w:hAnsi="Arial" w:cs="Arial"/>
                <w:sz w:val="22"/>
                <w:szCs w:val="22"/>
              </w:rPr>
            </w:pPr>
            <w:r w:rsidRPr="0052702E">
              <w:rPr>
                <w:rFonts w:ascii="Arial" w:hAnsi="Arial" w:cs="Arial"/>
                <w:sz w:val="22"/>
                <w:szCs w:val="22"/>
              </w:rPr>
              <w:t xml:space="preserve">Tier 1 </w:t>
            </w:r>
            <w:r>
              <w:rPr>
                <w:rFonts w:ascii="Arial" w:hAnsi="Arial" w:cs="Arial"/>
                <w:sz w:val="22"/>
                <w:szCs w:val="22"/>
              </w:rPr>
              <w:t>agencies</w:t>
            </w:r>
            <w:r w:rsidRPr="0052702E">
              <w:rPr>
                <w:rFonts w:ascii="Arial" w:hAnsi="Arial" w:cs="Arial"/>
                <w:sz w:val="22"/>
                <w:szCs w:val="22"/>
              </w:rPr>
              <w:t xml:space="preserve"> on all </w:t>
            </w:r>
            <w:r>
              <w:rPr>
                <w:rFonts w:ascii="Arial" w:hAnsi="Arial" w:cs="Arial"/>
                <w:sz w:val="22"/>
                <w:szCs w:val="22"/>
              </w:rPr>
              <w:t>L</w:t>
            </w:r>
            <w:r w:rsidRPr="0052702E">
              <w:rPr>
                <w:rFonts w:ascii="Arial" w:hAnsi="Arial" w:cs="Arial"/>
                <w:sz w:val="22"/>
                <w:szCs w:val="22"/>
              </w:rPr>
              <w:t>ots hav</w:t>
            </w:r>
            <w:r>
              <w:rPr>
                <w:rFonts w:ascii="Arial" w:hAnsi="Arial" w:cs="Arial"/>
                <w:sz w:val="22"/>
                <w:szCs w:val="22"/>
              </w:rPr>
              <w:t>ing</w:t>
            </w:r>
            <w:r w:rsidRPr="0052702E">
              <w:rPr>
                <w:rFonts w:ascii="Arial" w:hAnsi="Arial" w:cs="Arial"/>
                <w:sz w:val="22"/>
                <w:szCs w:val="22"/>
              </w:rPr>
              <w:t xml:space="preserve"> enhanced performance management arrangements with the four local authorities. </w:t>
            </w:r>
          </w:p>
        </w:tc>
      </w:tr>
    </w:tbl>
    <w:p w:rsidR="00902DB2">
      <w:r>
        <w:br w:type="page"/>
      </w:r>
    </w:p>
    <w:p w:rsidR="00E617D4"/>
    <w:tbl>
      <w:tblPr>
        <w:tblStyle w:val="TableGrid"/>
        <w:tblW w:w="0" w:type="auto"/>
        <w:tblLook w:val="04A0"/>
      </w:tblPr>
      <w:tblGrid>
        <w:gridCol w:w="9016"/>
      </w:tblGrid>
      <w:tr w:rsidTr="006A46F6">
        <w:tblPrEx>
          <w:tblW w:w="0" w:type="auto"/>
          <w:tblLook w:val="04A0"/>
        </w:tblPrEx>
        <w:tc>
          <w:tcPr>
            <w:tcW w:w="9016" w:type="dxa"/>
          </w:tcPr>
          <w:p w:rsidR="006A46F6" w:rsidRPr="006A46F6" w:rsidP="006A46F6">
            <w:pPr>
              <w:rPr>
                <w:rFonts w:ascii="Arial" w:hAnsi="Arial" w:cs="Arial"/>
                <w:b/>
                <w:bCs/>
                <w:sz w:val="24"/>
                <w:szCs w:val="24"/>
              </w:rPr>
            </w:pPr>
            <w:r w:rsidRPr="006A46F6">
              <w:rPr>
                <w:rFonts w:ascii="Arial" w:hAnsi="Arial" w:cs="Arial"/>
                <w:b/>
                <w:bCs/>
                <w:sz w:val="24"/>
                <w:szCs w:val="24"/>
              </w:rPr>
              <w:t>Procurement Title</w:t>
            </w:r>
          </w:p>
          <w:p w:rsidR="006A46F6" w:rsidRPr="006A46F6" w:rsidP="006A46F6">
            <w:pPr>
              <w:rPr>
                <w:rFonts w:ascii="Arial" w:hAnsi="Arial" w:cs="Arial"/>
                <w:b/>
                <w:bCs/>
              </w:rPr>
            </w:pPr>
          </w:p>
          <w:p w:rsidR="006A46F6" w:rsidP="001E6459">
            <w:pPr>
              <w:rPr>
                <w:rFonts w:ascii="Arial" w:hAnsi="Arial" w:cs="Arial"/>
              </w:rPr>
            </w:pPr>
            <w:r w:rsidRPr="006A46F6">
              <w:rPr>
                <w:rFonts w:ascii="Arial" w:hAnsi="Arial" w:cs="Arial"/>
              </w:rPr>
              <w:t>IT Hardware</w:t>
            </w:r>
            <w:r>
              <w:rPr>
                <w:rFonts w:ascii="Arial" w:hAnsi="Arial" w:cs="Arial"/>
              </w:rPr>
              <w:t xml:space="preserve">, </w:t>
            </w:r>
            <w:r w:rsidRPr="006A46F6">
              <w:rPr>
                <w:rFonts w:ascii="Arial" w:hAnsi="Arial" w:cs="Arial"/>
              </w:rPr>
              <w:t>Commercial Off-the-Shelf Software</w:t>
            </w:r>
            <w:r>
              <w:rPr>
                <w:rFonts w:ascii="Arial" w:hAnsi="Arial" w:cs="Arial"/>
              </w:rPr>
              <w:t>, ICT infrastructure Software</w:t>
            </w:r>
            <w:r w:rsidRPr="006A46F6">
              <w:rPr>
                <w:rFonts w:ascii="Arial" w:hAnsi="Arial" w:cs="Arial"/>
              </w:rPr>
              <w:t xml:space="preserve"> </w:t>
            </w:r>
            <w:r>
              <w:rPr>
                <w:rFonts w:ascii="Arial" w:hAnsi="Arial" w:cs="Arial"/>
              </w:rPr>
              <w:t>and other associated Software Support Services</w:t>
            </w:r>
          </w:p>
          <w:p w:rsidR="001E6459" w:rsidRPr="006A46F6" w:rsidP="001E6459">
            <w:pPr>
              <w:rPr>
                <w:rFonts w:ascii="Arial" w:hAnsi="Arial" w:cs="Arial"/>
              </w:rPr>
            </w:pPr>
          </w:p>
        </w:tc>
      </w:tr>
      <w:tr w:rsidTr="006A46F6">
        <w:tblPrEx>
          <w:tblW w:w="0" w:type="auto"/>
          <w:tblLook w:val="04A0"/>
        </w:tblPrEx>
        <w:tc>
          <w:tcPr>
            <w:tcW w:w="9016" w:type="dxa"/>
          </w:tcPr>
          <w:p w:rsidR="006A46F6" w:rsidRPr="006A46F6" w:rsidP="006A46F6">
            <w:pPr>
              <w:rPr>
                <w:rFonts w:ascii="Arial" w:hAnsi="Arial" w:cs="Arial"/>
                <w:b/>
                <w:bCs/>
                <w:sz w:val="24"/>
                <w:szCs w:val="24"/>
              </w:rPr>
            </w:pPr>
            <w:r w:rsidRPr="006A46F6">
              <w:rPr>
                <w:rFonts w:ascii="Arial" w:hAnsi="Arial" w:cs="Arial"/>
                <w:b/>
                <w:bCs/>
                <w:sz w:val="24"/>
                <w:szCs w:val="24"/>
              </w:rPr>
              <w:t>Procurement Option</w:t>
            </w:r>
          </w:p>
          <w:p w:rsidR="006A46F6" w:rsidRPr="00DC21BE" w:rsidP="006A46F6">
            <w:pPr>
              <w:rPr>
                <w:rFonts w:ascii="Arial" w:hAnsi="Arial" w:cs="Arial"/>
              </w:rPr>
            </w:pPr>
          </w:p>
          <w:p w:rsidR="00DC21BE" w:rsidRPr="00DC21BE" w:rsidP="00DC21BE">
            <w:pPr>
              <w:rPr>
                <w:rFonts w:ascii="Arial" w:hAnsi="Arial" w:cs="Arial"/>
              </w:rPr>
            </w:pPr>
            <w:r w:rsidRPr="00DC21BE">
              <w:rPr>
                <w:rFonts w:ascii="Arial" w:hAnsi="Arial" w:cs="Arial"/>
              </w:rPr>
              <w:t xml:space="preserve">This </w:t>
            </w:r>
            <w:r>
              <w:rPr>
                <w:rFonts w:ascii="Arial" w:hAnsi="Arial" w:cs="Arial"/>
              </w:rPr>
              <w:t xml:space="preserve">proposal is a revision to the previously approved January 2021 submission which was </w:t>
            </w:r>
            <w:r w:rsidRPr="00DC21BE">
              <w:rPr>
                <w:rFonts w:ascii="Arial" w:hAnsi="Arial" w:cs="Arial"/>
              </w:rPr>
              <w:t xml:space="preserve">to use the Kent County Supplies (KCS) Framework </w:t>
            </w:r>
            <w:r>
              <w:rPr>
                <w:rFonts w:ascii="Arial" w:hAnsi="Arial" w:cs="Arial"/>
              </w:rPr>
              <w:t>A</w:t>
            </w:r>
            <w:r w:rsidRPr="00DC21BE">
              <w:rPr>
                <w:rFonts w:ascii="Arial" w:hAnsi="Arial" w:cs="Arial"/>
              </w:rPr>
              <w:t xml:space="preserve">greement which </w:t>
            </w:r>
            <w:r>
              <w:rPr>
                <w:rFonts w:ascii="Arial" w:hAnsi="Arial" w:cs="Arial"/>
              </w:rPr>
              <w:t>was withdrawn without notice earlier in the year.</w:t>
            </w:r>
          </w:p>
          <w:p w:rsidR="00DC21BE" w:rsidRPr="00DC21BE" w:rsidP="006A46F6">
            <w:pPr>
              <w:rPr>
                <w:rFonts w:ascii="Arial" w:hAnsi="Arial" w:cs="Arial"/>
              </w:rPr>
            </w:pPr>
          </w:p>
          <w:p w:rsidR="00F06146" w:rsidP="00F06146">
            <w:pPr>
              <w:rPr>
                <w:rFonts w:ascii="Arial" w:hAnsi="Arial" w:cs="Arial"/>
              </w:rPr>
            </w:pPr>
            <w:r>
              <w:rPr>
                <w:rFonts w:ascii="Arial" w:hAnsi="Arial" w:cs="Arial"/>
              </w:rPr>
              <w:t xml:space="preserve">The new approach proposes that the Council approves a </w:t>
            </w:r>
            <w:r w:rsidRPr="006A46F6">
              <w:rPr>
                <w:rFonts w:ascii="Arial" w:hAnsi="Arial" w:cs="Arial"/>
              </w:rPr>
              <w:t xml:space="preserve">Direct Award via the HealthTrust Europe </w:t>
            </w:r>
            <w:r>
              <w:rPr>
                <w:rFonts w:ascii="Arial" w:hAnsi="Arial" w:cs="Arial"/>
              </w:rPr>
              <w:t xml:space="preserve">(HTE) </w:t>
            </w:r>
            <w:r w:rsidRPr="006A46F6">
              <w:rPr>
                <w:rFonts w:ascii="Arial" w:hAnsi="Arial" w:cs="Arial"/>
              </w:rPr>
              <w:t xml:space="preserve">Framework Agreement </w:t>
            </w:r>
            <w:r>
              <w:rPr>
                <w:rFonts w:ascii="Arial" w:hAnsi="Arial" w:cs="Arial"/>
              </w:rPr>
              <w:t xml:space="preserve">for </w:t>
            </w:r>
            <w:r w:rsidRPr="00403747">
              <w:rPr>
                <w:rFonts w:ascii="Arial" w:hAnsi="Arial" w:cs="Arial"/>
              </w:rPr>
              <w:t xml:space="preserve">ICT Solutions (ComIT 2 – Complete IT) </w:t>
            </w:r>
            <w:r w:rsidRPr="006A46F6">
              <w:rPr>
                <w:rFonts w:ascii="Arial" w:hAnsi="Arial" w:cs="Arial"/>
              </w:rPr>
              <w:t>for IT Hardware</w:t>
            </w:r>
            <w:r>
              <w:rPr>
                <w:rFonts w:ascii="Arial" w:hAnsi="Arial" w:cs="Arial"/>
              </w:rPr>
              <w:t xml:space="preserve"> and Software.</w:t>
            </w:r>
          </w:p>
          <w:p w:rsidR="00F06146" w:rsidP="00F06146">
            <w:pPr>
              <w:rPr>
                <w:rFonts w:ascii="Arial" w:hAnsi="Arial" w:cs="Arial"/>
              </w:rPr>
            </w:pPr>
          </w:p>
          <w:p w:rsidR="005C1D74" w:rsidP="00F06146">
            <w:pPr>
              <w:rPr>
                <w:rFonts w:ascii="Arial" w:hAnsi="Arial" w:cs="Arial"/>
              </w:rPr>
            </w:pPr>
            <w:r>
              <w:rPr>
                <w:rFonts w:ascii="Arial" w:hAnsi="Arial" w:cs="Arial"/>
              </w:rPr>
              <w:t>This is a single Lot Framework and</w:t>
            </w:r>
            <w:r w:rsidRPr="002E49B5">
              <w:rPr>
                <w:rFonts w:ascii="Arial" w:hAnsi="Arial" w:cs="Arial"/>
              </w:rPr>
              <w:t xml:space="preserve"> has been created to provide </w:t>
            </w:r>
            <w:r>
              <w:rPr>
                <w:rFonts w:ascii="Arial" w:hAnsi="Arial" w:cs="Arial"/>
              </w:rPr>
              <w:t>a</w:t>
            </w:r>
            <w:r w:rsidRPr="002E49B5">
              <w:rPr>
                <w:rFonts w:ascii="Arial" w:hAnsi="Arial" w:cs="Arial"/>
              </w:rPr>
              <w:t xml:space="preserve"> cost effective and simple route to market for </w:t>
            </w:r>
            <w:r>
              <w:rPr>
                <w:rFonts w:ascii="Arial" w:hAnsi="Arial" w:cs="Arial"/>
              </w:rPr>
              <w:t>the Public Sector's</w:t>
            </w:r>
            <w:r w:rsidRPr="002E49B5">
              <w:rPr>
                <w:rFonts w:ascii="Arial" w:hAnsi="Arial" w:cs="Arial"/>
              </w:rPr>
              <w:t xml:space="preserve"> IT requirements. </w:t>
            </w:r>
            <w:r>
              <w:rPr>
                <w:rFonts w:ascii="Arial" w:hAnsi="Arial" w:cs="Arial"/>
              </w:rPr>
              <w:t xml:space="preserve">The framework covers the procurement of IT </w:t>
            </w:r>
            <w:r w:rsidRPr="005C1D74">
              <w:rPr>
                <w:rFonts w:ascii="Arial" w:hAnsi="Arial" w:cs="Arial"/>
              </w:rPr>
              <w:t>hardware, software, programs, applications, security, computer science, managed services, consultancy and associated services</w:t>
            </w:r>
            <w:r>
              <w:rPr>
                <w:rFonts w:ascii="Arial" w:hAnsi="Arial" w:cs="Arial"/>
              </w:rPr>
              <w:t>.</w:t>
            </w:r>
          </w:p>
          <w:p w:rsidR="00AC6713" w:rsidP="006219BC">
            <w:pPr>
              <w:jc w:val="both"/>
              <w:rPr>
                <w:rFonts w:ascii="Arial" w:hAnsi="Arial" w:cs="Arial"/>
              </w:rPr>
            </w:pPr>
          </w:p>
          <w:p w:rsidR="006B5704" w:rsidRPr="006B5704" w:rsidP="006B5704">
            <w:pPr>
              <w:jc w:val="both"/>
              <w:rPr>
                <w:rFonts w:ascii="Arial" w:hAnsi="Arial" w:cs="Arial"/>
              </w:rPr>
            </w:pPr>
            <w:r w:rsidRPr="006B5704">
              <w:rPr>
                <w:rFonts w:ascii="Arial" w:hAnsi="Arial" w:cs="Arial"/>
              </w:rPr>
              <w:t xml:space="preserve">The selection of the supplier via the Direct Award process will be subject to a </w:t>
            </w:r>
            <w:r>
              <w:rPr>
                <w:rFonts w:ascii="Arial" w:hAnsi="Arial" w:cs="Arial"/>
              </w:rPr>
              <w:t xml:space="preserve">robust </w:t>
            </w:r>
            <w:r w:rsidRPr="006B5704">
              <w:rPr>
                <w:rFonts w:ascii="Arial" w:hAnsi="Arial" w:cs="Arial"/>
              </w:rPr>
              <w:t>benchmarking/evaluation process by HTE on behalf of the Council using selection criteria agreed with the Council.</w:t>
            </w:r>
          </w:p>
          <w:p w:rsidR="0052281D" w:rsidRPr="006A46F6" w:rsidP="00B665DF">
            <w:pPr>
              <w:jc w:val="both"/>
              <w:rPr>
                <w:rFonts w:ascii="Arial" w:hAnsi="Arial" w:cs="Arial"/>
              </w:rPr>
            </w:pPr>
          </w:p>
        </w:tc>
      </w:tr>
      <w:tr w:rsidTr="006A46F6">
        <w:tblPrEx>
          <w:tblW w:w="0" w:type="auto"/>
          <w:tblLook w:val="04A0"/>
        </w:tblPrEx>
        <w:tc>
          <w:tcPr>
            <w:tcW w:w="9016" w:type="dxa"/>
          </w:tcPr>
          <w:p w:rsidR="006A46F6" w:rsidRPr="006A46F6" w:rsidP="006A46F6">
            <w:pPr>
              <w:rPr>
                <w:rFonts w:ascii="Arial" w:hAnsi="Arial" w:cs="Arial"/>
                <w:b/>
                <w:bCs/>
                <w:sz w:val="24"/>
                <w:szCs w:val="24"/>
              </w:rPr>
            </w:pPr>
            <w:r w:rsidRPr="006A46F6">
              <w:rPr>
                <w:rFonts w:ascii="Arial" w:hAnsi="Arial" w:cs="Arial"/>
                <w:b/>
                <w:bCs/>
                <w:sz w:val="24"/>
                <w:szCs w:val="24"/>
              </w:rPr>
              <w:t>New or Existing Provision</w:t>
            </w:r>
          </w:p>
          <w:p w:rsidR="006A46F6" w:rsidRPr="006A46F6" w:rsidP="006A46F6">
            <w:pPr>
              <w:rPr>
                <w:rFonts w:ascii="Arial" w:hAnsi="Arial" w:cs="Arial"/>
                <w:b/>
                <w:bCs/>
              </w:rPr>
            </w:pPr>
          </w:p>
          <w:p w:rsidR="006A46F6" w:rsidRPr="006A46F6" w:rsidP="00AD1C45">
            <w:pPr>
              <w:jc w:val="both"/>
              <w:rPr>
                <w:rFonts w:ascii="Arial" w:hAnsi="Arial" w:cs="Arial"/>
              </w:rPr>
            </w:pPr>
            <w:r w:rsidRPr="006A46F6">
              <w:rPr>
                <w:rFonts w:ascii="Arial" w:hAnsi="Arial" w:cs="Arial"/>
              </w:rPr>
              <w:t xml:space="preserve">Existing </w:t>
            </w:r>
            <w:r>
              <w:rPr>
                <w:rFonts w:ascii="Arial" w:hAnsi="Arial" w:cs="Arial"/>
              </w:rPr>
              <w:t xml:space="preserve">Contract </w:t>
            </w:r>
            <w:r w:rsidRPr="006A46F6">
              <w:rPr>
                <w:rFonts w:ascii="Arial" w:hAnsi="Arial" w:cs="Arial"/>
              </w:rPr>
              <w:t xml:space="preserve">– </w:t>
            </w:r>
            <w:r>
              <w:rPr>
                <w:rFonts w:ascii="Arial" w:hAnsi="Arial" w:cs="Arial"/>
              </w:rPr>
              <w:t xml:space="preserve">The </w:t>
            </w:r>
            <w:r w:rsidRPr="006A46F6">
              <w:rPr>
                <w:rFonts w:ascii="Arial" w:hAnsi="Arial" w:cs="Arial"/>
              </w:rPr>
              <w:t xml:space="preserve">Current contract </w:t>
            </w:r>
            <w:r>
              <w:rPr>
                <w:rFonts w:ascii="Arial" w:hAnsi="Arial" w:cs="Arial"/>
              </w:rPr>
              <w:t xml:space="preserve">arrangement </w:t>
            </w:r>
            <w:r w:rsidRPr="006A46F6">
              <w:rPr>
                <w:rFonts w:ascii="Arial" w:hAnsi="Arial" w:cs="Arial"/>
              </w:rPr>
              <w:t xml:space="preserve">is with </w:t>
            </w:r>
            <w:r>
              <w:rPr>
                <w:rFonts w:ascii="Arial" w:hAnsi="Arial" w:cs="Arial"/>
              </w:rPr>
              <w:t>British Telecom</w:t>
            </w:r>
            <w:r w:rsidRPr="006A46F6">
              <w:rPr>
                <w:rFonts w:ascii="Arial" w:hAnsi="Arial" w:cs="Arial"/>
              </w:rPr>
              <w:t xml:space="preserve"> and </w:t>
            </w:r>
            <w:r>
              <w:rPr>
                <w:rFonts w:ascii="Arial" w:hAnsi="Arial" w:cs="Arial"/>
              </w:rPr>
              <w:t>was novated</w:t>
            </w:r>
            <w:r w:rsidRPr="006A46F6">
              <w:rPr>
                <w:rFonts w:ascii="Arial" w:hAnsi="Arial" w:cs="Arial"/>
              </w:rPr>
              <w:t xml:space="preserve"> </w:t>
            </w:r>
            <w:r>
              <w:rPr>
                <w:rFonts w:ascii="Arial" w:hAnsi="Arial" w:cs="Arial"/>
              </w:rPr>
              <w:t>on</w:t>
            </w:r>
            <w:r w:rsidRPr="006A46F6">
              <w:rPr>
                <w:rFonts w:ascii="Arial" w:hAnsi="Arial" w:cs="Arial"/>
              </w:rPr>
              <w:t xml:space="preserve"> 1st April 2021 as a </w:t>
            </w:r>
            <w:r>
              <w:rPr>
                <w:rFonts w:ascii="Arial" w:hAnsi="Arial" w:cs="Arial"/>
              </w:rPr>
              <w:t xml:space="preserve">continuing </w:t>
            </w:r>
            <w:r w:rsidRPr="006A46F6">
              <w:rPr>
                <w:rFonts w:ascii="Arial" w:hAnsi="Arial" w:cs="Arial"/>
              </w:rPr>
              <w:t xml:space="preserve">contract between </w:t>
            </w:r>
            <w:r>
              <w:rPr>
                <w:rFonts w:ascii="Arial" w:hAnsi="Arial" w:cs="Arial"/>
              </w:rPr>
              <w:t>the Council</w:t>
            </w:r>
            <w:r w:rsidRPr="006A46F6">
              <w:rPr>
                <w:rFonts w:ascii="Arial" w:hAnsi="Arial" w:cs="Arial"/>
              </w:rPr>
              <w:t xml:space="preserve"> and BT.</w:t>
            </w:r>
          </w:p>
          <w:p w:rsidR="006A46F6" w:rsidRPr="006A46F6" w:rsidP="00AD1C45">
            <w:pPr>
              <w:jc w:val="both"/>
              <w:rPr>
                <w:rFonts w:ascii="Arial" w:hAnsi="Arial" w:cs="Arial"/>
              </w:rPr>
            </w:pPr>
          </w:p>
          <w:p w:rsidR="006A46F6" w:rsidRPr="006A46F6" w:rsidP="00B665DF">
            <w:pPr>
              <w:jc w:val="both"/>
              <w:rPr>
                <w:rFonts w:ascii="Arial" w:hAnsi="Arial" w:cs="Arial"/>
                <w:b/>
                <w:bCs/>
              </w:rPr>
            </w:pPr>
            <w:r>
              <w:rPr>
                <w:rFonts w:ascii="Arial" w:hAnsi="Arial" w:cs="Arial"/>
              </w:rPr>
              <w:t xml:space="preserve">New Contract - </w:t>
            </w:r>
            <w:r w:rsidRPr="006A46F6">
              <w:rPr>
                <w:rFonts w:ascii="Arial" w:hAnsi="Arial" w:cs="Arial"/>
              </w:rPr>
              <w:t xml:space="preserve">This </w:t>
            </w:r>
            <w:r>
              <w:rPr>
                <w:rFonts w:ascii="Arial" w:hAnsi="Arial" w:cs="Arial"/>
              </w:rPr>
              <w:t xml:space="preserve">is proposed to be with a new supplier selected under the HTE Framework and will </w:t>
            </w:r>
            <w:r w:rsidRPr="006A46F6">
              <w:rPr>
                <w:rFonts w:ascii="Arial" w:hAnsi="Arial" w:cs="Arial"/>
              </w:rPr>
              <w:t>be a dual source, running alongside the BT contract</w:t>
            </w:r>
            <w:r>
              <w:rPr>
                <w:rFonts w:ascii="Arial" w:hAnsi="Arial" w:cs="Arial"/>
              </w:rPr>
              <w:t>,</w:t>
            </w:r>
            <w:r w:rsidRPr="006A46F6">
              <w:rPr>
                <w:rFonts w:ascii="Arial" w:hAnsi="Arial" w:cs="Arial"/>
              </w:rPr>
              <w:t xml:space="preserve"> to provide the </w:t>
            </w:r>
            <w:r>
              <w:rPr>
                <w:rFonts w:ascii="Arial" w:hAnsi="Arial" w:cs="Arial"/>
              </w:rPr>
              <w:t>C</w:t>
            </w:r>
            <w:r w:rsidRPr="006A46F6">
              <w:rPr>
                <w:rFonts w:ascii="Arial" w:hAnsi="Arial" w:cs="Arial"/>
              </w:rPr>
              <w:t>ouncil with an alternative supplier.</w:t>
            </w:r>
            <w:r>
              <w:rPr>
                <w:rFonts w:ascii="Arial" w:hAnsi="Arial" w:cs="Arial"/>
              </w:rPr>
              <w:t xml:space="preserve"> </w:t>
            </w:r>
          </w:p>
        </w:tc>
      </w:tr>
      <w:tr w:rsidTr="006A46F6">
        <w:tblPrEx>
          <w:tblW w:w="0" w:type="auto"/>
          <w:tblLook w:val="04A0"/>
        </w:tblPrEx>
        <w:tc>
          <w:tcPr>
            <w:tcW w:w="9016" w:type="dxa"/>
          </w:tcPr>
          <w:p w:rsidR="006A46F6" w:rsidRPr="00021444" w:rsidP="00AD1C45">
            <w:pPr>
              <w:jc w:val="both"/>
              <w:rPr>
                <w:rFonts w:ascii="Arial" w:hAnsi="Arial" w:cs="Arial"/>
                <w:b/>
                <w:bCs/>
              </w:rPr>
            </w:pPr>
            <w:r w:rsidRPr="00021444">
              <w:rPr>
                <w:rFonts w:ascii="Arial" w:hAnsi="Arial" w:cs="Arial"/>
                <w:b/>
                <w:bCs/>
              </w:rPr>
              <w:t>Estimated Contract Value</w:t>
            </w:r>
          </w:p>
          <w:p w:rsidR="006A46F6" w:rsidRPr="00021444" w:rsidP="00AD1C45">
            <w:pPr>
              <w:jc w:val="both"/>
              <w:rPr>
                <w:rFonts w:ascii="Arial" w:hAnsi="Arial" w:cs="Arial"/>
                <w:b/>
                <w:bCs/>
              </w:rPr>
            </w:pPr>
          </w:p>
          <w:p w:rsidR="004D70E1" w:rsidRPr="00021444" w:rsidP="00AD1C45">
            <w:pPr>
              <w:jc w:val="both"/>
              <w:rPr>
                <w:rFonts w:ascii="Arial" w:hAnsi="Arial" w:cs="Arial"/>
              </w:rPr>
            </w:pPr>
            <w:r w:rsidRPr="00021444">
              <w:rPr>
                <w:rFonts w:ascii="Arial" w:hAnsi="Arial" w:cs="Arial"/>
              </w:rPr>
              <w:t>This will be dependent upon volumes and the future demand for services but up to an estimated value of £</w:t>
            </w:r>
            <w:r w:rsidR="00B24C93">
              <w:rPr>
                <w:rFonts w:ascii="Arial" w:hAnsi="Arial" w:cs="Arial"/>
              </w:rPr>
              <w:t>9</w:t>
            </w:r>
            <w:r w:rsidRPr="00021444">
              <w:rPr>
                <w:rFonts w:ascii="Arial" w:hAnsi="Arial" w:cs="Arial"/>
              </w:rPr>
              <w:t xml:space="preserve">.5m per </w:t>
            </w:r>
            <w:r w:rsidRPr="00021444">
              <w:rPr>
                <w:rFonts w:ascii="Arial" w:hAnsi="Arial" w:cs="Arial"/>
              </w:rPr>
              <w:t xml:space="preserve">annum, </w:t>
            </w:r>
            <w:r>
              <w:rPr>
                <w:rFonts w:ascii="Arial" w:hAnsi="Arial" w:cs="Arial"/>
              </w:rPr>
              <w:t xml:space="preserve"> a</w:t>
            </w:r>
            <w:r>
              <w:rPr>
                <w:rFonts w:ascii="Arial" w:hAnsi="Arial" w:cs="Arial"/>
              </w:rPr>
              <w:t xml:space="preserve"> potential</w:t>
            </w:r>
            <w:r w:rsidRPr="00021444">
              <w:rPr>
                <w:rFonts w:ascii="Arial" w:hAnsi="Arial" w:cs="Arial"/>
              </w:rPr>
              <w:t xml:space="preserve"> total value of £</w:t>
            </w:r>
            <w:r>
              <w:rPr>
                <w:rFonts w:ascii="Arial" w:hAnsi="Arial" w:cs="Arial"/>
              </w:rPr>
              <w:t>38</w:t>
            </w:r>
            <w:r w:rsidRPr="00021444">
              <w:rPr>
                <w:rFonts w:ascii="Arial" w:hAnsi="Arial" w:cs="Arial"/>
              </w:rPr>
              <w:t>m over the overall 4-year period (inclusive of the extension options).  This is built upon the following budget assumptions:</w:t>
            </w:r>
          </w:p>
          <w:p w:rsidR="004C5CAC" w:rsidRPr="00021444" w:rsidP="00AD1C45">
            <w:pPr>
              <w:jc w:val="both"/>
              <w:rPr>
                <w:rFonts w:ascii="Arial" w:hAnsi="Arial" w:cs="Arial"/>
              </w:rPr>
            </w:pPr>
          </w:p>
          <w:p w:rsidR="00E005F2" w:rsidRPr="00021444" w:rsidP="00AD1C45">
            <w:pPr>
              <w:jc w:val="both"/>
              <w:rPr>
                <w:rFonts w:ascii="Arial" w:hAnsi="Arial" w:cs="Arial"/>
              </w:rPr>
            </w:pPr>
            <w:r w:rsidRPr="00021444">
              <w:rPr>
                <w:rFonts w:ascii="Arial" w:hAnsi="Arial" w:cs="Arial"/>
              </w:rPr>
              <w:t>Due to the historic lack of visibility of detailed line item expenditure/budget information from the previous outsourced provider BTLS, this value is our best estimate with the information we have available at the moment.</w:t>
            </w:r>
          </w:p>
          <w:p w:rsidR="00E005F2" w:rsidRPr="00021444" w:rsidP="00AD1C45">
            <w:pPr>
              <w:jc w:val="both"/>
              <w:rPr>
                <w:rFonts w:ascii="Arial" w:hAnsi="Arial" w:cs="Arial"/>
              </w:rPr>
            </w:pPr>
          </w:p>
          <w:p w:rsidR="00E005F2" w:rsidRPr="00021444" w:rsidP="00AD1C45">
            <w:pPr>
              <w:jc w:val="both"/>
              <w:rPr>
                <w:rFonts w:ascii="Arial" w:hAnsi="Arial" w:cs="Arial"/>
              </w:rPr>
            </w:pPr>
          </w:p>
          <w:p w:rsidR="00F14EA1" w:rsidP="00AD1C45">
            <w:pPr>
              <w:jc w:val="both"/>
              <w:rPr>
                <w:rFonts w:ascii="Arial" w:hAnsi="Arial" w:cs="Arial"/>
                <w:b/>
                <w:bCs/>
              </w:rPr>
            </w:pPr>
          </w:p>
          <w:p w:rsidR="00BB1872" w:rsidP="00AD1C45">
            <w:pPr>
              <w:jc w:val="both"/>
              <w:rPr>
                <w:rFonts w:ascii="Arial" w:hAnsi="Arial" w:cs="Arial"/>
                <w:b/>
                <w:bCs/>
              </w:rPr>
            </w:pPr>
          </w:p>
          <w:p w:rsidR="00BB1872" w:rsidP="00AD1C45">
            <w:pPr>
              <w:jc w:val="both"/>
              <w:rPr>
                <w:rFonts w:ascii="Arial" w:hAnsi="Arial" w:cs="Arial"/>
                <w:b/>
                <w:bCs/>
              </w:rPr>
            </w:pPr>
          </w:p>
          <w:p w:rsidR="00BB1872" w:rsidP="00AD1C45">
            <w:pPr>
              <w:jc w:val="both"/>
              <w:rPr>
                <w:rFonts w:ascii="Arial" w:hAnsi="Arial" w:cs="Arial"/>
                <w:b/>
                <w:bCs/>
              </w:rPr>
            </w:pPr>
          </w:p>
          <w:p w:rsidR="00BB1872" w:rsidP="00AD1C45">
            <w:pPr>
              <w:jc w:val="both"/>
              <w:rPr>
                <w:rFonts w:ascii="Arial" w:hAnsi="Arial" w:cs="Arial"/>
                <w:b/>
                <w:bCs/>
              </w:rPr>
            </w:pPr>
          </w:p>
          <w:p w:rsidR="00BB1872" w:rsidRPr="00021444" w:rsidP="00AD1C45">
            <w:pPr>
              <w:jc w:val="both"/>
              <w:rPr>
                <w:rFonts w:ascii="Arial" w:hAnsi="Arial" w:cs="Arial"/>
                <w:b/>
                <w:bCs/>
              </w:rPr>
            </w:pPr>
          </w:p>
          <w:p w:rsidR="009C1E6D" w:rsidRPr="00021444" w:rsidP="00AD1C45">
            <w:pPr>
              <w:jc w:val="both"/>
              <w:rPr>
                <w:rFonts w:ascii="Arial" w:hAnsi="Arial" w:cs="Arial"/>
                <w:b/>
                <w:bCs/>
              </w:rPr>
            </w:pPr>
          </w:p>
          <w:p w:rsidR="009C1E6D" w:rsidRPr="00021444" w:rsidP="00AD1C45">
            <w:pPr>
              <w:jc w:val="both"/>
              <w:rPr>
                <w:rFonts w:ascii="Arial" w:hAnsi="Arial" w:cs="Arial"/>
                <w:b/>
                <w:bCs/>
              </w:rPr>
            </w:pPr>
          </w:p>
          <w:tbl>
            <w:tblPr>
              <w:tblW w:w="0" w:type="auto"/>
              <w:tblCellMar>
                <w:left w:w="0" w:type="dxa"/>
                <w:right w:w="0" w:type="dxa"/>
              </w:tblCellMar>
              <w:tblLook w:val="04A0"/>
            </w:tblPr>
            <w:tblGrid>
              <w:gridCol w:w="7418"/>
              <w:gridCol w:w="1362"/>
            </w:tblGrid>
            <w:tr w:rsidTr="00E10A9C">
              <w:tblPrEx>
                <w:tblW w:w="0" w:type="auto"/>
                <w:tblCellMar>
                  <w:left w:w="0" w:type="dxa"/>
                  <w:right w:w="0" w:type="dxa"/>
                </w:tblCellMar>
                <w:tblLook w:val="04A0"/>
              </w:tblPrEx>
              <w:tc>
                <w:tcPr>
                  <w:tcW w:w="7650"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E10A9C" w:rsidRPr="00E10A9C" w:rsidP="00E10A9C">
                  <w:pPr>
                    <w:spacing w:after="0" w:line="240" w:lineRule="auto"/>
                    <w:rPr>
                      <w:rFonts w:ascii="Arial" w:eastAsia="Calibri" w:hAnsi="Arial" w:cs="Arial"/>
                      <w:b/>
                      <w:bCs/>
                    </w:rPr>
                  </w:pPr>
                  <w:r w:rsidRPr="00E10A9C">
                    <w:rPr>
                      <w:rFonts w:ascii="Arial" w:eastAsia="Calibri" w:hAnsi="Arial" w:cs="Arial"/>
                      <w:b/>
                      <w:bCs/>
                    </w:rPr>
                    <w:t>Category of Expenditure</w:t>
                  </w:r>
                </w:p>
              </w:tc>
              <w:tc>
                <w:tcPr>
                  <w:tcW w:w="136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E10A9C" w:rsidRPr="00E10A9C" w:rsidP="00E10A9C">
                  <w:pPr>
                    <w:spacing w:after="0" w:line="240" w:lineRule="auto"/>
                    <w:rPr>
                      <w:rFonts w:ascii="Arial" w:eastAsia="Calibri" w:hAnsi="Arial" w:cs="Arial"/>
                      <w:b/>
                      <w:bCs/>
                    </w:rPr>
                  </w:pPr>
                  <w:r w:rsidRPr="00E10A9C">
                    <w:rPr>
                      <w:rFonts w:ascii="Arial" w:eastAsia="Calibri" w:hAnsi="Arial" w:cs="Arial"/>
                      <w:b/>
                      <w:bCs/>
                      <w:color w:val="000000"/>
                    </w:rPr>
                    <w:t>Estimated Annual Value (£ m)</w:t>
                  </w:r>
                </w:p>
              </w:tc>
            </w:tr>
            <w:tr w:rsidTr="00E10A9C">
              <w:tblPrEx>
                <w:tblW w:w="0" w:type="auto"/>
                <w:tblCellMar>
                  <w:left w:w="0" w:type="dxa"/>
                  <w:right w:w="0" w:type="dxa"/>
                </w:tblCellMar>
                <w:tblLook w:val="04A0"/>
              </w:tblPrEx>
              <w:tc>
                <w:tcPr>
                  <w:tcW w:w="7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0A9C" w:rsidRPr="00E10A9C" w:rsidP="00C53594">
                  <w:pPr>
                    <w:spacing w:after="0" w:line="240" w:lineRule="auto"/>
                    <w:jc w:val="both"/>
                    <w:rPr>
                      <w:rFonts w:ascii="Arial" w:eastAsia="Calibri" w:hAnsi="Arial" w:cs="Arial"/>
                    </w:rPr>
                  </w:pPr>
                  <w:r w:rsidRPr="00E10A9C">
                    <w:rPr>
                      <w:rFonts w:ascii="Arial" w:eastAsia="Calibri" w:hAnsi="Arial" w:cs="Arial"/>
                    </w:rPr>
                    <w:t>Supplier Catalogue (IT core and non-core Hardware and Software) including iPads, Laptop's, Monitors, PC Peripherals, Software, Tablets and Yoga</w:t>
                  </w:r>
                </w:p>
                <w:p w:rsidR="00E10A9C" w:rsidRPr="00E10A9C" w:rsidP="00C53594">
                  <w:pPr>
                    <w:spacing w:after="0" w:line="240" w:lineRule="auto"/>
                    <w:jc w:val="both"/>
                    <w:rPr>
                      <w:rFonts w:ascii="Arial" w:eastAsia="Calibri" w:hAnsi="Arial" w:cs="Arial"/>
                    </w:rPr>
                  </w:pP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0A9C" w:rsidRPr="00E10A9C" w:rsidP="00E10A9C">
                  <w:pPr>
                    <w:spacing w:after="0" w:line="240" w:lineRule="auto"/>
                    <w:rPr>
                      <w:rFonts w:ascii="Arial" w:eastAsia="Calibri" w:hAnsi="Arial" w:cs="Arial"/>
                    </w:rPr>
                  </w:pPr>
                  <w:r w:rsidRPr="00E10A9C">
                    <w:rPr>
                      <w:rFonts w:ascii="Arial" w:eastAsia="Calibri" w:hAnsi="Arial" w:cs="Arial"/>
                    </w:rPr>
                    <w:t>£3.0m</w:t>
                  </w:r>
                </w:p>
              </w:tc>
            </w:tr>
            <w:tr w:rsidTr="00E10A9C">
              <w:tblPrEx>
                <w:tblW w:w="0" w:type="auto"/>
                <w:tblCellMar>
                  <w:left w:w="0" w:type="dxa"/>
                  <w:right w:w="0" w:type="dxa"/>
                </w:tblCellMar>
                <w:tblLook w:val="04A0"/>
              </w:tblPrEx>
              <w:tc>
                <w:tcPr>
                  <w:tcW w:w="7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0A9C" w:rsidRPr="00E10A9C" w:rsidP="00C53594">
                  <w:pPr>
                    <w:spacing w:after="0" w:line="240" w:lineRule="auto"/>
                    <w:jc w:val="both"/>
                    <w:rPr>
                      <w:rFonts w:ascii="Arial" w:eastAsia="Calibri" w:hAnsi="Arial" w:cs="Arial"/>
                    </w:rPr>
                  </w:pPr>
                  <w:r w:rsidRPr="00E10A9C">
                    <w:rPr>
                      <w:rFonts w:ascii="Arial" w:eastAsia="Calibri" w:hAnsi="Arial" w:cs="Arial"/>
                    </w:rPr>
                    <w:t>Supplier Non-Catalogue (IT non-Core IT Hardware and Reseller Software including Software as a Service) (e.g. Microsoft products, Commercial of the Shelf (COTS) software, Enterprise software, Operating systems, Recovery and data backup software, School Information Management systems, Security software such as adware and malware, antivirus, encryption, firewall, Virtualisation, Workflow management systems and software)</w:t>
                  </w:r>
                </w:p>
                <w:p w:rsidR="00E10A9C" w:rsidRPr="00E10A9C" w:rsidP="00C53594">
                  <w:pPr>
                    <w:spacing w:after="0" w:line="240" w:lineRule="auto"/>
                    <w:jc w:val="both"/>
                    <w:rPr>
                      <w:rFonts w:ascii="Arial" w:eastAsia="Calibri" w:hAnsi="Arial" w:cs="Arial"/>
                    </w:rPr>
                  </w:pP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0A9C" w:rsidRPr="00E10A9C" w:rsidP="00E10A9C">
                  <w:pPr>
                    <w:spacing w:after="0" w:line="240" w:lineRule="auto"/>
                    <w:rPr>
                      <w:rFonts w:ascii="Arial" w:eastAsia="Calibri" w:hAnsi="Arial" w:cs="Arial"/>
                    </w:rPr>
                  </w:pPr>
                  <w:r w:rsidRPr="00E10A9C">
                    <w:rPr>
                      <w:rFonts w:ascii="Arial" w:eastAsia="Calibri" w:hAnsi="Arial" w:cs="Arial"/>
                    </w:rPr>
                    <w:t>£</w:t>
                  </w:r>
                  <w:r>
                    <w:rPr>
                      <w:rFonts w:ascii="Arial" w:eastAsia="Calibri" w:hAnsi="Arial" w:cs="Arial"/>
                    </w:rPr>
                    <w:t>5.0</w:t>
                  </w:r>
                  <w:r w:rsidRPr="00E10A9C">
                    <w:rPr>
                      <w:rFonts w:ascii="Arial" w:eastAsia="Calibri" w:hAnsi="Arial" w:cs="Arial"/>
                    </w:rPr>
                    <w:t>m</w:t>
                  </w:r>
                </w:p>
              </w:tc>
            </w:tr>
            <w:tr w:rsidTr="00E10A9C">
              <w:tblPrEx>
                <w:tblW w:w="0" w:type="auto"/>
                <w:tblCellMar>
                  <w:left w:w="0" w:type="dxa"/>
                  <w:right w:w="0" w:type="dxa"/>
                </w:tblCellMar>
                <w:tblLook w:val="04A0"/>
              </w:tblPrEx>
              <w:tc>
                <w:tcPr>
                  <w:tcW w:w="7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0A9C" w:rsidRPr="00E10A9C" w:rsidP="00C53594">
                  <w:pPr>
                    <w:spacing w:after="0" w:line="240" w:lineRule="auto"/>
                    <w:jc w:val="both"/>
                    <w:rPr>
                      <w:rFonts w:ascii="Arial" w:eastAsia="Calibri" w:hAnsi="Arial" w:cs="Arial"/>
                    </w:rPr>
                  </w:pPr>
                  <w:r w:rsidRPr="00E10A9C">
                    <w:rPr>
                      <w:rFonts w:ascii="Arial" w:eastAsia="Calibri" w:hAnsi="Arial" w:cs="Arial"/>
                    </w:rPr>
                    <w:t>Supplier self-delivered Support and Consultancy Services (e.g. Technical Operational Services, Service Design and Implementation, End user support</w:t>
                  </w:r>
                </w:p>
                <w:p w:rsidR="00E10A9C" w:rsidRPr="00E10A9C" w:rsidP="00C53594">
                  <w:pPr>
                    <w:spacing w:after="0" w:line="240" w:lineRule="auto"/>
                    <w:jc w:val="both"/>
                    <w:rPr>
                      <w:rFonts w:ascii="Arial" w:eastAsia="Calibri" w:hAnsi="Arial" w:cs="Arial"/>
                    </w:rPr>
                  </w:pPr>
                  <w:r w:rsidRPr="00E10A9C">
                    <w:rPr>
                      <w:rFonts w:ascii="Arial" w:eastAsia="Calibri" w:hAnsi="Arial" w:cs="Arial"/>
                    </w:rPr>
                    <w:t>Service desk, Integration, Installation, Project Management, Training, Software Asset management)</w:t>
                  </w:r>
                </w:p>
                <w:p w:rsidR="00E10A9C" w:rsidRPr="00E10A9C" w:rsidP="00C53594">
                  <w:pPr>
                    <w:spacing w:after="0" w:line="240" w:lineRule="auto"/>
                    <w:jc w:val="both"/>
                    <w:rPr>
                      <w:rFonts w:ascii="Arial" w:eastAsia="Calibri" w:hAnsi="Arial" w:cs="Arial"/>
                    </w:rPr>
                  </w:pP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0A9C" w:rsidRPr="00E10A9C" w:rsidP="00E10A9C">
                  <w:pPr>
                    <w:spacing w:after="0" w:line="240" w:lineRule="auto"/>
                    <w:rPr>
                      <w:rFonts w:ascii="Arial" w:eastAsia="Calibri" w:hAnsi="Arial" w:cs="Arial"/>
                    </w:rPr>
                  </w:pPr>
                  <w:r w:rsidRPr="00E10A9C">
                    <w:rPr>
                      <w:rFonts w:ascii="Arial" w:eastAsia="Calibri" w:hAnsi="Arial" w:cs="Arial"/>
                    </w:rPr>
                    <w:t>£0.5m</w:t>
                  </w:r>
                </w:p>
              </w:tc>
            </w:tr>
            <w:tr w:rsidTr="00E10A9C">
              <w:tblPrEx>
                <w:tblW w:w="0" w:type="auto"/>
                <w:tblCellMar>
                  <w:left w:w="0" w:type="dxa"/>
                  <w:right w:w="0" w:type="dxa"/>
                </w:tblCellMar>
                <w:tblLook w:val="04A0"/>
              </w:tblPrEx>
              <w:tc>
                <w:tcPr>
                  <w:tcW w:w="7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0A9C" w:rsidRPr="00E10A9C" w:rsidP="00C53594">
                  <w:pPr>
                    <w:spacing w:after="0" w:line="240" w:lineRule="auto"/>
                    <w:jc w:val="both"/>
                    <w:rPr>
                      <w:rFonts w:ascii="Arial" w:eastAsia="Calibri" w:hAnsi="Arial" w:cs="Arial"/>
                    </w:rPr>
                  </w:pPr>
                  <w:r w:rsidRPr="00E10A9C">
                    <w:rPr>
                      <w:rFonts w:ascii="Arial" w:eastAsia="Calibri" w:hAnsi="Arial" w:cs="Arial"/>
                    </w:rPr>
                    <w:t>Supplier purchased Support and Consultancy Services for enterprise level software via Vendor (e.g. Technical Operational Services, Service Design and Implementation, End user support, Service desk, Integration, Installation, Project Management, Training, Software Asset management) such as for McAfee, ServiceNow, F5</w:t>
                  </w:r>
                  <w:r w:rsidRPr="00021444">
                    <w:rPr>
                      <w:rFonts w:ascii="Arial" w:eastAsia="Calibri" w:hAnsi="Arial" w:cs="Arial"/>
                    </w:rPr>
                    <w:t xml:space="preserve"> and</w:t>
                  </w:r>
                  <w:r w:rsidRPr="00E10A9C">
                    <w:rPr>
                      <w:rFonts w:ascii="Arial" w:eastAsia="Calibri" w:hAnsi="Arial" w:cs="Arial"/>
                    </w:rPr>
                    <w:t xml:space="preserve"> Adobe</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0A9C" w:rsidRPr="00E10A9C" w:rsidP="00E10A9C">
                  <w:pPr>
                    <w:spacing w:after="0" w:line="240" w:lineRule="auto"/>
                    <w:rPr>
                      <w:rFonts w:ascii="Arial" w:eastAsia="Calibri" w:hAnsi="Arial" w:cs="Arial"/>
                    </w:rPr>
                  </w:pPr>
                  <w:r w:rsidRPr="00E10A9C">
                    <w:rPr>
                      <w:rFonts w:ascii="Arial" w:eastAsia="Calibri" w:hAnsi="Arial" w:cs="Arial"/>
                    </w:rPr>
                    <w:t>£</w:t>
                  </w:r>
                  <w:r>
                    <w:rPr>
                      <w:rFonts w:ascii="Arial" w:eastAsia="Calibri" w:hAnsi="Arial" w:cs="Arial"/>
                    </w:rPr>
                    <w:t>1.0</w:t>
                  </w:r>
                  <w:r w:rsidRPr="00E10A9C">
                    <w:rPr>
                      <w:rFonts w:ascii="Arial" w:eastAsia="Calibri" w:hAnsi="Arial" w:cs="Arial"/>
                    </w:rPr>
                    <w:t>m</w:t>
                  </w:r>
                </w:p>
              </w:tc>
            </w:tr>
            <w:tr w:rsidTr="00E10A9C">
              <w:tblPrEx>
                <w:tblW w:w="0" w:type="auto"/>
                <w:tblCellMar>
                  <w:left w:w="0" w:type="dxa"/>
                  <w:right w:w="0" w:type="dxa"/>
                </w:tblCellMar>
                <w:tblLook w:val="04A0"/>
              </w:tblPrEx>
              <w:tc>
                <w:tcPr>
                  <w:tcW w:w="7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4A2" w:rsidRPr="00021444" w:rsidP="004C04A2">
                  <w:pPr>
                    <w:spacing w:after="0" w:line="240" w:lineRule="auto"/>
                    <w:jc w:val="right"/>
                    <w:rPr>
                      <w:rFonts w:ascii="Arial" w:eastAsia="Calibri" w:hAnsi="Arial" w:cs="Arial"/>
                      <w:b/>
                      <w:bCs/>
                    </w:rPr>
                  </w:pPr>
                </w:p>
                <w:p w:rsidR="00E10A9C" w:rsidRPr="00021444" w:rsidP="004C04A2">
                  <w:pPr>
                    <w:spacing w:after="0" w:line="240" w:lineRule="auto"/>
                    <w:jc w:val="right"/>
                    <w:rPr>
                      <w:rFonts w:ascii="Arial" w:eastAsia="Calibri" w:hAnsi="Arial" w:cs="Arial"/>
                      <w:b/>
                      <w:bCs/>
                    </w:rPr>
                  </w:pPr>
                  <w:r w:rsidRPr="00021444">
                    <w:rPr>
                      <w:rFonts w:ascii="Arial" w:eastAsia="Calibri" w:hAnsi="Arial" w:cs="Arial"/>
                      <w:b/>
                      <w:bCs/>
                    </w:rPr>
                    <w:t xml:space="preserve">Annual </w:t>
                  </w:r>
                  <w:r w:rsidRPr="00E10A9C">
                    <w:rPr>
                      <w:rFonts w:ascii="Arial" w:eastAsia="Calibri" w:hAnsi="Arial" w:cs="Arial"/>
                      <w:b/>
                      <w:bCs/>
                    </w:rPr>
                    <w:t>Total</w:t>
                  </w:r>
                </w:p>
                <w:p w:rsidR="004C04A2" w:rsidRPr="00E10A9C" w:rsidP="004C04A2">
                  <w:pPr>
                    <w:spacing w:after="0" w:line="240" w:lineRule="auto"/>
                    <w:jc w:val="right"/>
                    <w:rPr>
                      <w:rFonts w:ascii="Arial" w:eastAsia="Calibri" w:hAnsi="Arial" w:cs="Arial"/>
                      <w:b/>
                      <w:bCs/>
                    </w:rPr>
                  </w:pP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0A9C" w:rsidRPr="00E10A9C" w:rsidP="00E10A9C">
                  <w:pPr>
                    <w:spacing w:after="0" w:line="240" w:lineRule="auto"/>
                    <w:rPr>
                      <w:rFonts w:ascii="Arial" w:eastAsia="Calibri" w:hAnsi="Arial" w:cs="Arial"/>
                      <w:b/>
                      <w:bCs/>
                    </w:rPr>
                  </w:pPr>
                  <w:r w:rsidRPr="00E10A9C">
                    <w:rPr>
                      <w:rFonts w:ascii="Arial" w:eastAsia="Calibri" w:hAnsi="Arial" w:cs="Arial"/>
                      <w:b/>
                      <w:bCs/>
                    </w:rPr>
                    <w:t>£</w:t>
                  </w:r>
                  <w:r>
                    <w:rPr>
                      <w:rFonts w:ascii="Arial" w:eastAsia="Calibri" w:hAnsi="Arial" w:cs="Arial"/>
                      <w:b/>
                      <w:bCs/>
                    </w:rPr>
                    <w:t>9</w:t>
                  </w:r>
                  <w:r w:rsidRPr="00E10A9C">
                    <w:rPr>
                      <w:rFonts w:ascii="Arial" w:eastAsia="Calibri" w:hAnsi="Arial" w:cs="Arial"/>
                      <w:b/>
                      <w:bCs/>
                    </w:rPr>
                    <w:t>.5m</w:t>
                  </w:r>
                </w:p>
              </w:tc>
            </w:tr>
          </w:tbl>
          <w:p w:rsidR="00E10A9C" w:rsidRPr="00E10A9C" w:rsidP="00E10A9C">
            <w:pPr>
              <w:rPr>
                <w:rFonts w:ascii="Arial" w:eastAsia="Calibri" w:hAnsi="Arial" w:cs="Arial"/>
              </w:rPr>
            </w:pPr>
          </w:p>
          <w:p w:rsidR="009C1E6D" w:rsidRPr="00021444" w:rsidP="00AD1C45">
            <w:pPr>
              <w:jc w:val="both"/>
              <w:rPr>
                <w:rFonts w:ascii="Arial" w:hAnsi="Arial" w:cs="Arial"/>
                <w:b/>
                <w:bCs/>
              </w:rPr>
            </w:pPr>
          </w:p>
        </w:tc>
      </w:tr>
      <w:tr w:rsidTr="006A46F6">
        <w:tblPrEx>
          <w:tblW w:w="0" w:type="auto"/>
          <w:tblLook w:val="04A0"/>
        </w:tblPrEx>
        <w:tc>
          <w:tcPr>
            <w:tcW w:w="9016" w:type="dxa"/>
          </w:tcPr>
          <w:p w:rsidR="006A46F6" w:rsidRPr="006A46F6" w:rsidP="006A46F6">
            <w:pPr>
              <w:rPr>
                <w:rFonts w:ascii="Arial" w:hAnsi="Arial" w:cs="Arial"/>
                <w:b/>
                <w:bCs/>
                <w:sz w:val="24"/>
                <w:szCs w:val="24"/>
              </w:rPr>
            </w:pPr>
            <w:r w:rsidRPr="006A46F6">
              <w:rPr>
                <w:rFonts w:ascii="Arial" w:hAnsi="Arial" w:cs="Arial"/>
                <w:b/>
                <w:bCs/>
                <w:sz w:val="24"/>
                <w:szCs w:val="24"/>
              </w:rPr>
              <w:t>Contract Duration</w:t>
            </w:r>
          </w:p>
          <w:p w:rsidR="006A46F6" w:rsidRPr="006A46F6" w:rsidP="006A46F6">
            <w:pPr>
              <w:rPr>
                <w:rFonts w:ascii="Arial" w:hAnsi="Arial" w:cs="Arial"/>
                <w:b/>
                <w:bCs/>
              </w:rPr>
            </w:pPr>
          </w:p>
          <w:p w:rsidR="00021444" w:rsidRPr="006A46F6" w:rsidP="00B665DF">
            <w:pPr>
              <w:jc w:val="both"/>
              <w:rPr>
                <w:rFonts w:ascii="Arial" w:hAnsi="Arial" w:cs="Arial"/>
                <w:b/>
                <w:bCs/>
              </w:rPr>
            </w:pPr>
            <w:r>
              <w:rPr>
                <w:rFonts w:ascii="Arial" w:hAnsi="Arial" w:cs="Arial"/>
              </w:rPr>
              <w:t>The New Contract arrangement will be for an i</w:t>
            </w:r>
            <w:r w:rsidRPr="006A46F6">
              <w:rPr>
                <w:rFonts w:ascii="Arial" w:hAnsi="Arial" w:cs="Arial"/>
              </w:rPr>
              <w:t xml:space="preserve">nitial </w:t>
            </w:r>
            <w:r>
              <w:rPr>
                <w:rFonts w:ascii="Arial" w:hAnsi="Arial" w:cs="Arial"/>
              </w:rPr>
              <w:t>term</w:t>
            </w:r>
            <w:r w:rsidRPr="006A46F6">
              <w:rPr>
                <w:rFonts w:ascii="Arial" w:hAnsi="Arial" w:cs="Arial"/>
              </w:rPr>
              <w:t xml:space="preserve"> of </w:t>
            </w:r>
            <w:r>
              <w:rPr>
                <w:rFonts w:ascii="Arial" w:hAnsi="Arial" w:cs="Arial"/>
              </w:rPr>
              <w:t>2 years</w:t>
            </w:r>
            <w:r w:rsidRPr="006A46F6">
              <w:rPr>
                <w:rFonts w:ascii="Arial" w:hAnsi="Arial" w:cs="Arial"/>
              </w:rPr>
              <w:t xml:space="preserve"> </w:t>
            </w:r>
            <w:r>
              <w:rPr>
                <w:rFonts w:ascii="Arial" w:hAnsi="Arial" w:cs="Arial"/>
              </w:rPr>
              <w:t xml:space="preserve">with effect from July 2021 </w:t>
            </w:r>
            <w:r w:rsidRPr="006A46F6">
              <w:rPr>
                <w:rFonts w:ascii="Arial" w:hAnsi="Arial" w:cs="Arial"/>
              </w:rPr>
              <w:t xml:space="preserve">with an option to extend the contract beyond the initial term to a maximum of a further </w:t>
            </w:r>
            <w:r>
              <w:rPr>
                <w:rFonts w:ascii="Arial" w:hAnsi="Arial" w:cs="Arial"/>
              </w:rPr>
              <w:t>2 years</w:t>
            </w:r>
            <w:r w:rsidRPr="006A46F6">
              <w:rPr>
                <w:rFonts w:ascii="Arial" w:hAnsi="Arial" w:cs="Arial"/>
              </w:rPr>
              <w:t xml:space="preserve">, in </w:t>
            </w:r>
            <w:r>
              <w:rPr>
                <w:rFonts w:ascii="Arial" w:hAnsi="Arial" w:cs="Arial"/>
              </w:rPr>
              <w:t>two separate annual</w:t>
            </w:r>
            <w:r w:rsidRPr="006A46F6">
              <w:rPr>
                <w:rFonts w:ascii="Arial" w:hAnsi="Arial" w:cs="Arial"/>
              </w:rPr>
              <w:t xml:space="preserve"> increments.</w:t>
            </w:r>
            <w:r>
              <w:rPr>
                <w:rFonts w:ascii="Arial" w:hAnsi="Arial" w:cs="Arial"/>
              </w:rPr>
              <w:t xml:space="preserve"> </w:t>
            </w:r>
          </w:p>
        </w:tc>
      </w:tr>
      <w:tr w:rsidTr="006A46F6">
        <w:tblPrEx>
          <w:tblW w:w="0" w:type="auto"/>
          <w:tblLook w:val="04A0"/>
        </w:tblPrEx>
        <w:tc>
          <w:tcPr>
            <w:tcW w:w="9016" w:type="dxa"/>
          </w:tcPr>
          <w:p w:rsidR="006A46F6" w:rsidRPr="006A46F6" w:rsidP="006A46F6">
            <w:pPr>
              <w:rPr>
                <w:rFonts w:ascii="Arial" w:hAnsi="Arial" w:cs="Arial"/>
                <w:b/>
                <w:bCs/>
                <w:sz w:val="24"/>
                <w:szCs w:val="24"/>
              </w:rPr>
            </w:pPr>
            <w:r w:rsidRPr="006A46F6">
              <w:rPr>
                <w:rFonts w:ascii="Arial" w:hAnsi="Arial" w:cs="Arial"/>
                <w:b/>
                <w:bCs/>
                <w:sz w:val="24"/>
                <w:szCs w:val="24"/>
              </w:rPr>
              <w:t>Lotting</w:t>
            </w:r>
          </w:p>
          <w:p w:rsidR="006A46F6" w:rsidRPr="006A46F6" w:rsidP="006A46F6">
            <w:pPr>
              <w:rPr>
                <w:rFonts w:ascii="Arial" w:hAnsi="Arial" w:cs="Arial"/>
                <w:b/>
                <w:bCs/>
              </w:rPr>
            </w:pPr>
          </w:p>
          <w:p w:rsidR="009D5010" w:rsidP="005E09FA">
            <w:pPr>
              <w:jc w:val="both"/>
              <w:rPr>
                <w:rFonts w:ascii="Arial" w:hAnsi="Arial" w:cs="Arial"/>
              </w:rPr>
            </w:pPr>
            <w:r w:rsidRPr="006A46F6">
              <w:rPr>
                <w:rFonts w:ascii="Arial" w:hAnsi="Arial" w:cs="Arial"/>
              </w:rPr>
              <w:t>Not applicable.</w:t>
            </w:r>
          </w:p>
          <w:p w:rsidR="009D5010" w:rsidP="005E09FA">
            <w:pPr>
              <w:jc w:val="both"/>
              <w:rPr>
                <w:rFonts w:ascii="Arial" w:hAnsi="Arial" w:cs="Arial"/>
              </w:rPr>
            </w:pPr>
          </w:p>
          <w:p w:rsidR="00021444" w:rsidRPr="006A46F6" w:rsidP="00B665DF">
            <w:pPr>
              <w:jc w:val="both"/>
              <w:rPr>
                <w:rFonts w:ascii="Arial" w:hAnsi="Arial" w:cs="Arial"/>
              </w:rPr>
            </w:pPr>
            <w:r w:rsidRPr="006A46F6">
              <w:rPr>
                <w:rFonts w:ascii="Arial" w:hAnsi="Arial" w:cs="Arial"/>
              </w:rPr>
              <w:t xml:space="preserve">The </w:t>
            </w:r>
            <w:r>
              <w:rPr>
                <w:rFonts w:ascii="Arial" w:hAnsi="Arial" w:cs="Arial"/>
              </w:rPr>
              <w:t>New C</w:t>
            </w:r>
            <w:r w:rsidRPr="006A46F6">
              <w:rPr>
                <w:rFonts w:ascii="Arial" w:hAnsi="Arial" w:cs="Arial"/>
              </w:rPr>
              <w:t xml:space="preserve">ontract will be delivered </w:t>
            </w:r>
            <w:r>
              <w:rPr>
                <w:rFonts w:ascii="Arial" w:hAnsi="Arial" w:cs="Arial"/>
              </w:rPr>
              <w:t xml:space="preserve">as </w:t>
            </w:r>
            <w:r w:rsidRPr="006A46F6">
              <w:rPr>
                <w:rFonts w:ascii="Arial" w:hAnsi="Arial" w:cs="Arial"/>
              </w:rPr>
              <w:t>a sing</w:t>
            </w:r>
            <w:r>
              <w:rPr>
                <w:rFonts w:ascii="Arial" w:hAnsi="Arial" w:cs="Arial"/>
              </w:rPr>
              <w:t>le</w:t>
            </w:r>
            <w:r w:rsidRPr="006A46F6">
              <w:rPr>
                <w:rFonts w:ascii="Arial" w:hAnsi="Arial" w:cs="Arial"/>
              </w:rPr>
              <w:t xml:space="preserve"> value-added reseller (neutral vendor), provider model. The provider will manage a supply chain of </w:t>
            </w:r>
            <w:r>
              <w:rPr>
                <w:rFonts w:ascii="Arial" w:hAnsi="Arial" w:cs="Arial"/>
              </w:rPr>
              <w:t xml:space="preserve">catalogue </w:t>
            </w:r>
            <w:r w:rsidRPr="006A46F6">
              <w:rPr>
                <w:rFonts w:ascii="Arial" w:hAnsi="Arial" w:cs="Arial"/>
              </w:rPr>
              <w:t xml:space="preserve">suppliers to fulfil the </w:t>
            </w:r>
            <w:r>
              <w:rPr>
                <w:rFonts w:ascii="Arial" w:hAnsi="Arial" w:cs="Arial"/>
              </w:rPr>
              <w:t>C</w:t>
            </w:r>
            <w:r w:rsidRPr="006A46F6">
              <w:rPr>
                <w:rFonts w:ascii="Arial" w:hAnsi="Arial" w:cs="Arial"/>
              </w:rPr>
              <w:t xml:space="preserve">ouncil's </w:t>
            </w:r>
            <w:r>
              <w:rPr>
                <w:rFonts w:ascii="Arial" w:hAnsi="Arial" w:cs="Arial"/>
              </w:rPr>
              <w:t>future requirements.</w:t>
            </w:r>
          </w:p>
        </w:tc>
      </w:tr>
      <w:tr w:rsidTr="006A46F6">
        <w:tblPrEx>
          <w:tblW w:w="0" w:type="auto"/>
          <w:tblLook w:val="04A0"/>
        </w:tblPrEx>
        <w:tc>
          <w:tcPr>
            <w:tcW w:w="9016" w:type="dxa"/>
          </w:tcPr>
          <w:p w:rsidR="006A46F6" w:rsidRPr="006A46F6" w:rsidP="006A46F6">
            <w:pPr>
              <w:rPr>
                <w:rFonts w:ascii="Arial" w:hAnsi="Arial" w:cs="Arial"/>
                <w:b/>
                <w:bCs/>
                <w:sz w:val="24"/>
                <w:szCs w:val="24"/>
              </w:rPr>
            </w:pPr>
            <w:r w:rsidRPr="006A46F6">
              <w:rPr>
                <w:rFonts w:ascii="Arial" w:hAnsi="Arial" w:cs="Arial"/>
                <w:b/>
                <w:bCs/>
                <w:sz w:val="24"/>
                <w:szCs w:val="24"/>
              </w:rPr>
              <w:t>Evaluation</w:t>
            </w:r>
          </w:p>
          <w:p w:rsidR="006A46F6" w:rsidRPr="006A46F6" w:rsidP="006A46F6">
            <w:pPr>
              <w:rPr>
                <w:rFonts w:ascii="Arial" w:hAnsi="Arial" w:cs="Arial"/>
                <w:b/>
                <w:bCs/>
              </w:rPr>
            </w:pPr>
          </w:p>
          <w:p w:rsidR="006A46F6" w:rsidP="006A46F6">
            <w:pPr>
              <w:jc w:val="both"/>
              <w:rPr>
                <w:rFonts w:ascii="Arial" w:hAnsi="Arial" w:cs="Arial"/>
              </w:rPr>
            </w:pPr>
            <w:r w:rsidRPr="006A46F6">
              <w:rPr>
                <w:rFonts w:ascii="Arial" w:hAnsi="Arial" w:cs="Arial"/>
              </w:rPr>
              <w:t xml:space="preserve">A formal tender evaluation is not required as the contract will be awarded through the </w:t>
            </w:r>
            <w:r>
              <w:rPr>
                <w:rFonts w:ascii="Arial" w:hAnsi="Arial" w:cs="Arial"/>
              </w:rPr>
              <w:t>HealthTrust Europe</w:t>
            </w:r>
            <w:r w:rsidRPr="006A46F6">
              <w:rPr>
                <w:rFonts w:ascii="Arial" w:hAnsi="Arial" w:cs="Arial"/>
              </w:rPr>
              <w:t xml:space="preserve"> </w:t>
            </w:r>
            <w:r>
              <w:rPr>
                <w:rFonts w:ascii="Arial" w:hAnsi="Arial" w:cs="Arial"/>
              </w:rPr>
              <w:t>F</w:t>
            </w:r>
            <w:r w:rsidRPr="006A46F6">
              <w:rPr>
                <w:rFonts w:ascii="Arial" w:hAnsi="Arial" w:cs="Arial"/>
              </w:rPr>
              <w:t xml:space="preserve">ramework </w:t>
            </w:r>
            <w:r>
              <w:rPr>
                <w:rFonts w:ascii="Arial" w:hAnsi="Arial" w:cs="Arial"/>
              </w:rPr>
              <w:t xml:space="preserve">agreement </w:t>
            </w:r>
            <w:r w:rsidRPr="006A46F6">
              <w:rPr>
                <w:rFonts w:ascii="Arial" w:hAnsi="Arial" w:cs="Arial"/>
              </w:rPr>
              <w:t xml:space="preserve">via a </w:t>
            </w:r>
            <w:r>
              <w:rPr>
                <w:rFonts w:ascii="Arial" w:hAnsi="Arial" w:cs="Arial"/>
              </w:rPr>
              <w:t>D</w:t>
            </w:r>
            <w:r w:rsidRPr="006A46F6">
              <w:rPr>
                <w:rFonts w:ascii="Arial" w:hAnsi="Arial" w:cs="Arial"/>
              </w:rPr>
              <w:t xml:space="preserve">irect </w:t>
            </w:r>
            <w:r>
              <w:rPr>
                <w:rFonts w:ascii="Arial" w:hAnsi="Arial" w:cs="Arial"/>
              </w:rPr>
              <w:t>A</w:t>
            </w:r>
            <w:r w:rsidRPr="006A46F6">
              <w:rPr>
                <w:rFonts w:ascii="Arial" w:hAnsi="Arial" w:cs="Arial"/>
              </w:rPr>
              <w:t>ward</w:t>
            </w:r>
            <w:r>
              <w:rPr>
                <w:rFonts w:ascii="Arial" w:hAnsi="Arial" w:cs="Arial"/>
              </w:rPr>
              <w:t xml:space="preserve"> process to one of the Framework's seven suppliers</w:t>
            </w:r>
            <w:r w:rsidRPr="006A46F6">
              <w:rPr>
                <w:rFonts w:ascii="Arial" w:hAnsi="Arial" w:cs="Arial"/>
              </w:rPr>
              <w:t>.</w:t>
            </w:r>
          </w:p>
          <w:p w:rsidR="00B10827" w:rsidP="006A46F6">
            <w:pPr>
              <w:jc w:val="both"/>
              <w:rPr>
                <w:rFonts w:ascii="Arial" w:hAnsi="Arial" w:cs="Arial"/>
              </w:rPr>
            </w:pPr>
          </w:p>
          <w:p w:rsidR="00B10827" w:rsidRPr="00B10827" w:rsidP="00B10827">
            <w:pPr>
              <w:jc w:val="both"/>
              <w:rPr>
                <w:rFonts w:ascii="Arial" w:hAnsi="Arial" w:cs="Arial"/>
              </w:rPr>
            </w:pPr>
            <w:r>
              <w:rPr>
                <w:rFonts w:ascii="Arial" w:hAnsi="Arial" w:cs="Arial"/>
              </w:rPr>
              <w:t>However, t</w:t>
            </w:r>
            <w:r w:rsidRPr="00B10827">
              <w:rPr>
                <w:rFonts w:ascii="Arial" w:hAnsi="Arial" w:cs="Arial"/>
              </w:rPr>
              <w:t xml:space="preserve">he selection of the supplier via the Direct Award process will be subject to a robust benchmarking/evaluation process by HTE on behalf of the Council using </w:t>
            </w:r>
            <w:r>
              <w:rPr>
                <w:rFonts w:ascii="Arial" w:hAnsi="Arial" w:cs="Arial"/>
              </w:rPr>
              <w:t xml:space="preserve">a range of technical and commercial </w:t>
            </w:r>
            <w:r w:rsidRPr="00B10827">
              <w:rPr>
                <w:rFonts w:ascii="Arial" w:hAnsi="Arial" w:cs="Arial"/>
              </w:rPr>
              <w:t xml:space="preserve">selection criteria </w:t>
            </w:r>
            <w:r>
              <w:rPr>
                <w:rFonts w:ascii="Arial" w:hAnsi="Arial" w:cs="Arial"/>
              </w:rPr>
              <w:t xml:space="preserve">proposed by HTE and </w:t>
            </w:r>
            <w:r w:rsidRPr="00B10827">
              <w:rPr>
                <w:rFonts w:ascii="Arial" w:hAnsi="Arial" w:cs="Arial"/>
              </w:rPr>
              <w:t>agreed with the Council.</w:t>
            </w:r>
          </w:p>
          <w:p w:rsidR="006A46F6" w:rsidRPr="006A46F6" w:rsidP="006A46F6">
            <w:pPr>
              <w:jc w:val="both"/>
              <w:rPr>
                <w:rFonts w:ascii="Arial" w:hAnsi="Arial" w:cs="Arial"/>
              </w:rPr>
            </w:pPr>
          </w:p>
          <w:p w:rsidR="006A46F6" w:rsidP="006A46F6">
            <w:pPr>
              <w:jc w:val="both"/>
              <w:rPr>
                <w:rFonts w:ascii="Arial" w:hAnsi="Arial" w:cs="Arial"/>
              </w:rPr>
            </w:pPr>
            <w:r>
              <w:rPr>
                <w:rFonts w:ascii="Arial" w:hAnsi="Arial" w:cs="Arial"/>
              </w:rPr>
              <w:t>The Framework</w:t>
            </w:r>
            <w:r w:rsidRPr="006A46F6">
              <w:rPr>
                <w:rFonts w:ascii="Arial" w:hAnsi="Arial" w:cs="Arial"/>
              </w:rPr>
              <w:t xml:space="preserve"> allows for a simple and competitive route to procuring the required goods </w:t>
            </w:r>
            <w:r>
              <w:rPr>
                <w:rFonts w:ascii="Arial" w:hAnsi="Arial" w:cs="Arial"/>
              </w:rPr>
              <w:t xml:space="preserve">and services </w:t>
            </w:r>
            <w:r w:rsidRPr="006A46F6">
              <w:rPr>
                <w:rFonts w:ascii="Arial" w:hAnsi="Arial" w:cs="Arial"/>
              </w:rPr>
              <w:t xml:space="preserve">and is compliant with </w:t>
            </w:r>
            <w:r>
              <w:rPr>
                <w:rFonts w:ascii="Arial" w:hAnsi="Arial" w:cs="Arial"/>
              </w:rPr>
              <w:t xml:space="preserve">EU Procurement Directives and the </w:t>
            </w:r>
            <w:r w:rsidRPr="006A46F6">
              <w:rPr>
                <w:rFonts w:ascii="Arial" w:hAnsi="Arial" w:cs="Arial"/>
              </w:rPr>
              <w:t xml:space="preserve">UK </w:t>
            </w:r>
            <w:r>
              <w:rPr>
                <w:rFonts w:ascii="Arial" w:hAnsi="Arial" w:cs="Arial"/>
              </w:rPr>
              <w:t>Public Contract Regulations 2015, ther</w:t>
            </w:r>
            <w:r w:rsidRPr="006A46F6">
              <w:rPr>
                <w:rFonts w:ascii="Arial" w:hAnsi="Arial" w:cs="Arial"/>
              </w:rPr>
              <w:t>efore remov</w:t>
            </w:r>
            <w:r>
              <w:rPr>
                <w:rFonts w:ascii="Arial" w:hAnsi="Arial" w:cs="Arial"/>
              </w:rPr>
              <w:t>ing</w:t>
            </w:r>
            <w:r w:rsidRPr="006A46F6">
              <w:rPr>
                <w:rFonts w:ascii="Arial" w:hAnsi="Arial" w:cs="Arial"/>
              </w:rPr>
              <w:t xml:space="preserve"> the need to run a full procurement process. All </w:t>
            </w:r>
            <w:r>
              <w:rPr>
                <w:rFonts w:ascii="Arial" w:hAnsi="Arial" w:cs="Arial"/>
              </w:rPr>
              <w:t xml:space="preserve">seven possible </w:t>
            </w:r>
            <w:r w:rsidRPr="006A46F6">
              <w:rPr>
                <w:rFonts w:ascii="Arial" w:hAnsi="Arial" w:cs="Arial"/>
              </w:rPr>
              <w:t xml:space="preserve">providers listed on the </w:t>
            </w:r>
            <w:r>
              <w:rPr>
                <w:rFonts w:ascii="Arial" w:hAnsi="Arial" w:cs="Arial"/>
              </w:rPr>
              <w:t>HTE</w:t>
            </w:r>
            <w:r w:rsidRPr="006A46F6">
              <w:rPr>
                <w:rFonts w:ascii="Arial" w:hAnsi="Arial" w:cs="Arial"/>
              </w:rPr>
              <w:t xml:space="preserve"> framework have </w:t>
            </w:r>
            <w:r>
              <w:rPr>
                <w:rFonts w:ascii="Arial" w:hAnsi="Arial" w:cs="Arial"/>
              </w:rPr>
              <w:t xml:space="preserve">already </w:t>
            </w:r>
            <w:r w:rsidRPr="006A46F6">
              <w:rPr>
                <w:rFonts w:ascii="Arial" w:hAnsi="Arial" w:cs="Arial"/>
              </w:rPr>
              <w:t>been assessed for their financial stability, track record, experience, and technical and professional ability</w:t>
            </w:r>
            <w:r>
              <w:rPr>
                <w:rFonts w:ascii="Arial" w:hAnsi="Arial" w:cs="Arial"/>
              </w:rPr>
              <w:t xml:space="preserve"> by HTE.</w:t>
            </w:r>
          </w:p>
          <w:p w:rsidR="00CB5B21" w:rsidP="006A46F6">
            <w:pPr>
              <w:jc w:val="both"/>
              <w:rPr>
                <w:rFonts w:ascii="Arial" w:hAnsi="Arial" w:cs="Arial"/>
              </w:rPr>
            </w:pPr>
          </w:p>
          <w:p w:rsidR="00CB5B21" w:rsidRPr="00CB5B21" w:rsidP="00CB5B21">
            <w:pPr>
              <w:jc w:val="both"/>
              <w:rPr>
                <w:rFonts w:ascii="Arial" w:hAnsi="Arial" w:cs="Arial"/>
              </w:rPr>
            </w:pPr>
            <w:r>
              <w:rPr>
                <w:rFonts w:ascii="Arial" w:hAnsi="Arial" w:cs="Arial"/>
              </w:rPr>
              <w:t>One of the</w:t>
            </w:r>
            <w:r w:rsidRPr="00CB5B21">
              <w:rPr>
                <w:rFonts w:ascii="Arial" w:hAnsi="Arial" w:cs="Arial"/>
              </w:rPr>
              <w:t xml:space="preserve"> </w:t>
            </w:r>
            <w:r>
              <w:rPr>
                <w:rFonts w:ascii="Arial" w:hAnsi="Arial" w:cs="Arial"/>
              </w:rPr>
              <w:t xml:space="preserve">agreed </w:t>
            </w:r>
            <w:r w:rsidRPr="00CB5B21">
              <w:rPr>
                <w:rFonts w:ascii="Arial" w:hAnsi="Arial" w:cs="Arial"/>
              </w:rPr>
              <w:t xml:space="preserve">selection </w:t>
            </w:r>
            <w:r>
              <w:rPr>
                <w:rFonts w:ascii="Arial" w:hAnsi="Arial" w:cs="Arial"/>
              </w:rPr>
              <w:t xml:space="preserve">criteria will be </w:t>
            </w:r>
            <w:r w:rsidRPr="00CB5B21">
              <w:rPr>
                <w:rFonts w:ascii="Arial" w:hAnsi="Arial" w:cs="Arial"/>
              </w:rPr>
              <w:t xml:space="preserve">for the supplier to provide an e-catalogue </w:t>
            </w:r>
            <w:r>
              <w:rPr>
                <w:rFonts w:ascii="Arial" w:hAnsi="Arial" w:cs="Arial"/>
              </w:rPr>
              <w:t xml:space="preserve">solution </w:t>
            </w:r>
            <w:r w:rsidRPr="00CB5B21">
              <w:rPr>
                <w:rFonts w:ascii="Arial" w:hAnsi="Arial" w:cs="Arial"/>
              </w:rPr>
              <w:t>that interfaces with our ORACLE Purchase to Pay System.</w:t>
            </w:r>
          </w:p>
          <w:p w:rsidR="00116185" w:rsidRPr="006A46F6" w:rsidP="00B10827">
            <w:pPr>
              <w:jc w:val="both"/>
              <w:rPr>
                <w:rFonts w:ascii="Arial" w:hAnsi="Arial" w:cs="Arial"/>
                <w:b/>
                <w:bCs/>
              </w:rPr>
            </w:pPr>
          </w:p>
        </w:tc>
      </w:tr>
      <w:tr w:rsidTr="006A46F6">
        <w:tblPrEx>
          <w:tblW w:w="0" w:type="auto"/>
          <w:tblLook w:val="04A0"/>
        </w:tblPrEx>
        <w:tc>
          <w:tcPr>
            <w:tcW w:w="9016" w:type="dxa"/>
          </w:tcPr>
          <w:p w:rsidR="006A46F6" w:rsidRPr="006A46F6" w:rsidP="00B51670">
            <w:pPr>
              <w:jc w:val="both"/>
              <w:rPr>
                <w:rFonts w:ascii="Arial" w:hAnsi="Arial" w:cs="Arial"/>
                <w:b/>
                <w:bCs/>
                <w:sz w:val="24"/>
                <w:szCs w:val="24"/>
              </w:rPr>
            </w:pPr>
            <w:r w:rsidRPr="006A46F6">
              <w:rPr>
                <w:rFonts w:ascii="Arial" w:hAnsi="Arial" w:cs="Arial"/>
                <w:b/>
                <w:bCs/>
                <w:sz w:val="24"/>
                <w:szCs w:val="24"/>
              </w:rPr>
              <w:t>Contract Detail</w:t>
            </w:r>
          </w:p>
          <w:p w:rsidR="006A46F6" w:rsidRPr="006A46F6" w:rsidP="00B51670">
            <w:pPr>
              <w:jc w:val="both"/>
              <w:rPr>
                <w:rFonts w:ascii="Arial" w:hAnsi="Arial" w:cs="Arial"/>
                <w:b/>
                <w:bCs/>
              </w:rPr>
            </w:pPr>
          </w:p>
          <w:p w:rsidR="006A46F6" w:rsidRPr="006A46F6" w:rsidP="00B51670">
            <w:pPr>
              <w:jc w:val="both"/>
              <w:rPr>
                <w:rFonts w:ascii="Arial" w:hAnsi="Arial" w:cs="Arial"/>
              </w:rPr>
            </w:pPr>
            <w:r w:rsidRPr="006A46F6">
              <w:rPr>
                <w:rFonts w:ascii="Arial" w:hAnsi="Arial" w:cs="Arial"/>
              </w:rPr>
              <w:t>IT Hardware</w:t>
            </w:r>
            <w:r>
              <w:rPr>
                <w:rFonts w:ascii="Arial" w:hAnsi="Arial" w:cs="Arial"/>
              </w:rPr>
              <w:t xml:space="preserve"> and Software </w:t>
            </w:r>
            <w:r w:rsidRPr="006A46F6">
              <w:rPr>
                <w:rFonts w:ascii="Arial" w:hAnsi="Arial" w:cs="Arial"/>
              </w:rPr>
              <w:t xml:space="preserve">is essential for the </w:t>
            </w:r>
            <w:r>
              <w:rPr>
                <w:rFonts w:ascii="Arial" w:hAnsi="Arial" w:cs="Arial"/>
              </w:rPr>
              <w:t>C</w:t>
            </w:r>
            <w:r w:rsidRPr="006A46F6">
              <w:rPr>
                <w:rFonts w:ascii="Arial" w:hAnsi="Arial" w:cs="Arial"/>
              </w:rPr>
              <w:t xml:space="preserve">ouncil and current partners, </w:t>
            </w:r>
            <w:r>
              <w:rPr>
                <w:rFonts w:ascii="Arial" w:hAnsi="Arial" w:cs="Arial"/>
              </w:rPr>
              <w:t xml:space="preserve">and </w:t>
            </w:r>
            <w:r w:rsidRPr="006A46F6">
              <w:rPr>
                <w:rFonts w:ascii="Arial" w:hAnsi="Arial" w:cs="Arial"/>
              </w:rPr>
              <w:t xml:space="preserve"> Lancashire schools. It affects all departments of the </w:t>
            </w:r>
            <w:r>
              <w:rPr>
                <w:rFonts w:ascii="Arial" w:hAnsi="Arial" w:cs="Arial"/>
              </w:rPr>
              <w:t>C</w:t>
            </w:r>
            <w:r w:rsidRPr="006A46F6">
              <w:rPr>
                <w:rFonts w:ascii="Arial" w:hAnsi="Arial" w:cs="Arial"/>
              </w:rPr>
              <w:t>ouncil and is now a ubiquitous requirement for modern day organisations.</w:t>
            </w:r>
          </w:p>
          <w:p w:rsidR="006A46F6" w:rsidRPr="006A46F6" w:rsidP="00B51670">
            <w:pPr>
              <w:jc w:val="both"/>
              <w:rPr>
                <w:rFonts w:ascii="Arial" w:hAnsi="Arial" w:cs="Arial"/>
              </w:rPr>
            </w:pPr>
          </w:p>
          <w:p w:rsidR="006A46F6" w:rsidRPr="006A46F6" w:rsidP="00B51670">
            <w:pPr>
              <w:jc w:val="both"/>
              <w:rPr>
                <w:rFonts w:ascii="Arial" w:hAnsi="Arial" w:cs="Arial"/>
              </w:rPr>
            </w:pPr>
            <w:r w:rsidRPr="006A46F6">
              <w:rPr>
                <w:rFonts w:ascii="Arial" w:hAnsi="Arial" w:cs="Arial"/>
              </w:rPr>
              <w:t xml:space="preserve">The </w:t>
            </w:r>
            <w:r>
              <w:rPr>
                <w:rFonts w:ascii="Arial" w:hAnsi="Arial" w:cs="Arial"/>
              </w:rPr>
              <w:t xml:space="preserve">successful </w:t>
            </w:r>
            <w:r w:rsidRPr="006A46F6">
              <w:rPr>
                <w:rFonts w:ascii="Arial" w:hAnsi="Arial" w:cs="Arial"/>
              </w:rPr>
              <w:t xml:space="preserve">supplier will provide a full and effective catalogue of IT Hardware </w:t>
            </w:r>
            <w:r>
              <w:rPr>
                <w:rFonts w:ascii="Arial" w:hAnsi="Arial" w:cs="Arial"/>
              </w:rPr>
              <w:t xml:space="preserve">and Software </w:t>
            </w:r>
            <w:r w:rsidRPr="006A46F6">
              <w:rPr>
                <w:rFonts w:ascii="Arial" w:hAnsi="Arial" w:cs="Arial"/>
              </w:rPr>
              <w:t xml:space="preserve">products that will enable and assist in the delivery of the Digital </w:t>
            </w:r>
            <w:r>
              <w:rPr>
                <w:rFonts w:ascii="Arial" w:hAnsi="Arial" w:cs="Arial"/>
              </w:rPr>
              <w:t xml:space="preserve">First </w:t>
            </w:r>
            <w:r w:rsidRPr="006A46F6">
              <w:rPr>
                <w:rFonts w:ascii="Arial" w:hAnsi="Arial" w:cs="Arial"/>
              </w:rPr>
              <w:t>Corporate Strategy over the life of the contract.</w:t>
            </w:r>
            <w:r>
              <w:rPr>
                <w:rFonts w:ascii="Arial" w:hAnsi="Arial" w:cs="Arial"/>
              </w:rPr>
              <w:t xml:space="preserve"> </w:t>
            </w:r>
            <w:r w:rsidRPr="006A46F6">
              <w:rPr>
                <w:rFonts w:ascii="Arial" w:hAnsi="Arial" w:cs="Arial"/>
              </w:rPr>
              <w:t xml:space="preserve">The catalogue will be controlled and authored by the </w:t>
            </w:r>
            <w:r>
              <w:rPr>
                <w:rFonts w:ascii="Arial" w:hAnsi="Arial" w:cs="Arial"/>
              </w:rPr>
              <w:t>C</w:t>
            </w:r>
            <w:r w:rsidRPr="006A46F6">
              <w:rPr>
                <w:rFonts w:ascii="Arial" w:hAnsi="Arial" w:cs="Arial"/>
              </w:rPr>
              <w:t>ouncil</w:t>
            </w:r>
            <w:r>
              <w:rPr>
                <w:rFonts w:ascii="Arial" w:hAnsi="Arial" w:cs="Arial"/>
              </w:rPr>
              <w:t xml:space="preserve">. </w:t>
            </w:r>
            <w:r w:rsidRPr="006A46F6">
              <w:rPr>
                <w:rFonts w:ascii="Arial" w:hAnsi="Arial" w:cs="Arial"/>
              </w:rPr>
              <w:t>This will provide a progressive, value for money and modern method of specifying and ordering IT Hardware.</w:t>
            </w:r>
          </w:p>
          <w:p w:rsidR="006A46F6" w:rsidRPr="006A46F6" w:rsidP="00B51670">
            <w:pPr>
              <w:jc w:val="both"/>
              <w:rPr>
                <w:rFonts w:ascii="Arial" w:hAnsi="Arial" w:cs="Arial"/>
              </w:rPr>
            </w:pPr>
          </w:p>
          <w:p w:rsidR="006A46F6" w:rsidP="00B51670">
            <w:pPr>
              <w:jc w:val="both"/>
              <w:rPr>
                <w:rFonts w:ascii="Arial" w:hAnsi="Arial" w:cs="Arial"/>
              </w:rPr>
            </w:pPr>
            <w:r w:rsidRPr="006A46F6">
              <w:rPr>
                <w:rFonts w:ascii="Arial" w:hAnsi="Arial" w:cs="Arial"/>
              </w:rPr>
              <w:t>The catalogue will include both non-technical “end user” (laptop, monitor</w:t>
            </w:r>
            <w:r>
              <w:rPr>
                <w:rFonts w:ascii="Arial" w:hAnsi="Arial" w:cs="Arial"/>
              </w:rPr>
              <w:t>, mouse, headsets</w:t>
            </w:r>
            <w:r w:rsidRPr="006A46F6">
              <w:rPr>
                <w:rFonts w:ascii="Arial" w:hAnsi="Arial" w:cs="Arial"/>
              </w:rPr>
              <w:t xml:space="preserve">) and technical products combined with regular </w:t>
            </w:r>
            <w:r>
              <w:rPr>
                <w:rFonts w:ascii="Arial" w:hAnsi="Arial" w:cs="Arial"/>
              </w:rPr>
              <w:t>commercial off the shelf</w:t>
            </w:r>
            <w:r w:rsidRPr="006A46F6">
              <w:rPr>
                <w:rFonts w:ascii="Arial" w:hAnsi="Arial" w:cs="Arial"/>
              </w:rPr>
              <w:t xml:space="preserve"> </w:t>
            </w:r>
            <w:r>
              <w:rPr>
                <w:rFonts w:ascii="Arial" w:hAnsi="Arial" w:cs="Arial"/>
              </w:rPr>
              <w:t xml:space="preserve">"boxed" </w:t>
            </w:r>
            <w:r w:rsidRPr="006A46F6">
              <w:rPr>
                <w:rFonts w:ascii="Arial" w:hAnsi="Arial" w:cs="Arial"/>
              </w:rPr>
              <w:t>software</w:t>
            </w:r>
            <w:r>
              <w:rPr>
                <w:rFonts w:ascii="Arial" w:hAnsi="Arial" w:cs="Arial"/>
              </w:rPr>
              <w:t>.</w:t>
            </w:r>
          </w:p>
          <w:p w:rsidR="002612C7" w:rsidP="00B51670">
            <w:pPr>
              <w:jc w:val="both"/>
              <w:rPr>
                <w:rFonts w:ascii="Arial" w:hAnsi="Arial" w:cs="Arial"/>
              </w:rPr>
            </w:pPr>
          </w:p>
          <w:p w:rsidR="00416631" w:rsidP="0034768B">
            <w:pPr>
              <w:jc w:val="both"/>
              <w:rPr>
                <w:rFonts w:ascii="Arial" w:hAnsi="Arial" w:cs="Arial"/>
              </w:rPr>
            </w:pPr>
            <w:r>
              <w:rPr>
                <w:rFonts w:ascii="Arial" w:hAnsi="Arial" w:cs="Arial"/>
              </w:rPr>
              <w:t>Additionally, the supplier will be able to supply ICT infrastructure Software (e.g. Security Solutions, Software Asset Management Solutions, VMware etc.) as an authorised re-seller of such software solutions on a cost plus agreed mark-up basis and associated support and professional services to support implementation where required.</w:t>
            </w:r>
          </w:p>
          <w:p w:rsidR="00E005F2" w:rsidRPr="006A46F6" w:rsidP="0034768B">
            <w:pPr>
              <w:jc w:val="both"/>
              <w:rPr>
                <w:rFonts w:ascii="Arial" w:hAnsi="Arial" w:cs="Arial"/>
                <w:b/>
                <w:bCs/>
              </w:rPr>
            </w:pPr>
          </w:p>
        </w:tc>
      </w:tr>
    </w:tbl>
    <w:p w:rsidR="00E9228A" w:rsidP="0034768B">
      <w:pPr>
        <w:jc w:val="both"/>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B12EE3"/>
    <w:multiLevelType w:val="hybridMultilevel"/>
    <w:tmpl w:val="FFD891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81E6774"/>
    <w:multiLevelType w:val="hybridMultilevel"/>
    <w:tmpl w:val="3A647D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EC1710"/>
    <w:multiLevelType w:val="hybridMultilevel"/>
    <w:tmpl w:val="433A63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7D4"/>
    <w:pPr>
      <w:ind w:left="720"/>
      <w:contextualSpacing/>
    </w:pPr>
  </w:style>
  <w:style w:type="paragraph" w:styleId="CommentText">
    <w:name w:val="annotation text"/>
    <w:basedOn w:val="Normal"/>
    <w:link w:val="CommentTextChar"/>
    <w:uiPriority w:val="99"/>
    <w:unhideWhenUsed/>
    <w:rsid w:val="00430FF1"/>
    <w:pPr>
      <w:spacing w:line="240" w:lineRule="auto"/>
    </w:pPr>
    <w:rPr>
      <w:sz w:val="20"/>
      <w:szCs w:val="20"/>
    </w:rPr>
  </w:style>
  <w:style w:type="character" w:customStyle="1" w:styleId="CommentTextChar">
    <w:name w:val="Comment Text Char"/>
    <w:basedOn w:val="DefaultParagraphFont"/>
    <w:link w:val="CommentText"/>
    <w:uiPriority w:val="99"/>
    <w:rsid w:val="00430FF1"/>
    <w:rPr>
      <w:sz w:val="20"/>
      <w:szCs w:val="20"/>
    </w:rPr>
  </w:style>
  <w:style w:type="character" w:styleId="CommentReference">
    <w:name w:val="annotation reference"/>
    <w:basedOn w:val="DefaultParagraphFont"/>
    <w:uiPriority w:val="99"/>
    <w:semiHidden/>
    <w:unhideWhenUsed/>
    <w:rsid w:val="00F93790"/>
    <w:rPr>
      <w:sz w:val="16"/>
      <w:szCs w:val="16"/>
    </w:rPr>
  </w:style>
  <w:style w:type="paragraph" w:styleId="CommentSubject">
    <w:name w:val="annotation subject"/>
    <w:basedOn w:val="CommentText"/>
    <w:next w:val="CommentText"/>
    <w:link w:val="CommentSubjectChar"/>
    <w:uiPriority w:val="99"/>
    <w:semiHidden/>
    <w:unhideWhenUsed/>
    <w:rsid w:val="00F93790"/>
    <w:rPr>
      <w:b/>
      <w:bCs/>
    </w:rPr>
  </w:style>
  <w:style w:type="character" w:customStyle="1" w:styleId="CommentSubjectChar">
    <w:name w:val="Comment Subject Char"/>
    <w:basedOn w:val="CommentTextChar"/>
    <w:link w:val="CommentSubject"/>
    <w:uiPriority w:val="99"/>
    <w:semiHidden/>
    <w:rsid w:val="00F93790"/>
    <w:rPr>
      <w:b/>
      <w:bCs/>
      <w:sz w:val="20"/>
      <w:szCs w:val="20"/>
    </w:rPr>
  </w:style>
  <w:style w:type="paragraph" w:styleId="BalloonText">
    <w:name w:val="Balloon Text"/>
    <w:basedOn w:val="Normal"/>
    <w:link w:val="BalloonTextChar"/>
    <w:uiPriority w:val="99"/>
    <w:semiHidden/>
    <w:unhideWhenUsed/>
    <w:rsid w:val="00F93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2A40-3E79-4F67-861C-265102CB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2634</Words>
  <Characters>15016</Characters>
  <Application>Microsoft Office Word</Application>
  <DocSecurity>0</DocSecurity>
  <Lines>125</Lines>
  <Paragraphs>35</Paragraphs>
  <ScaleCrop>false</ScaleCrop>
  <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Schofield, Paul</dc:creator>
  <cp:lastModifiedBy>Tanner, Rachel</cp:lastModifiedBy>
  <cp:revision>28</cp:revision>
  <dcterms:created xsi:type="dcterms:W3CDTF">2021-05-21T09:38:00Z</dcterms:created>
  <dcterms:modified xsi:type="dcterms:W3CDTF">2021-05-26T04:57:00Z</dcterms:modified>
</cp:coreProperties>
</file>